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use-quantum"/>
    <w:p>
      <w:pPr>
        <w:pStyle w:val="Heading3"/>
      </w:pPr>
      <w:r>
        <w:t xml:space="preserve">Use Quantum</w:t>
      </w:r>
    </w:p>
    <w:p>
      <w:pPr>
        <w:pStyle w:val="FirstParagraph"/>
      </w:pPr>
      <w:r>
        <w:t xml:space="preserve">At least 60% of the total B1 industrial GFA (ie minimum 60%) shall be used for industrial purpose</w:t>
      </w:r>
      <w:r>
        <w:rPr>
          <w:vertAlign w:val="superscript"/>
        </w:rPr>
        <w:t xml:space="preserve">1</w:t>
      </w:r>
      <w:r>
        <w:t xml:space="preserve">. The remaining 40% may be used for ancillary (or supporting) uses. Tables 1 and 2 below shows the applicable use quantum control for a single-user or multi-user industrial development.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This is also applicable to to B1-White sites.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Single-User-Development"/>
    </w:p>
    <w:p>
      <w:pPr>
        <w:pStyle w:val="BodyText"/>
      </w:pPr>
      <w:r>
        <w:t xml:space="preserve">Table 1: Single User Development</w:t>
      </w:r>
    </w:p>
    <w:bookmarkStart w:id="27" w:name="Single-User-Development"/>
    <w:p>
      <w:pPr>
        <w:pStyle w:val="BodyText"/>
      </w:pPr>
      <w:r>
        <w:drawing>
          <wp:inline>
            <wp:extent cx="9525" cy="952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iCs/>
        </w:rPr>
        <w:t xml:space="preserve">Single-User Use Quantum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Predominant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Ancillary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Minimum 60%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Maximum 40% 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rPr>
          <w:b/>
          <w:bCs/>
          <w:i/>
          <w:iCs/>
        </w:rPr>
        <w:t xml:space="preserve">Note</w:t>
      </w:r>
      <w:r>
        <w:rPr>
          <w:i/>
          <w:iCs/>
        </w:rPr>
        <w:t xml:space="preserve">: For single-user developments, strata subdivision is not allowed. Sub-leasing of space is allowed.</w:t>
      </w:r>
    </w:p>
    <w:p>
      <w:pPr>
        <w:pStyle w:val="BodyText"/>
      </w:pPr>
      <w:r>
        <w:t xml:space="preserve">Single-user/owner developments (i.e. not strata subdivided) that sub-lease space to other tenants are subject to the same quantum controls as multi-user developments (see Table 2 below).</w:t>
      </w:r>
    </w:p>
    <w:bookmarkStart w:id="26" w:name="Single-User-Development1"/>
    <w:bookmarkEnd w:id="26"/>
    <w:bookmarkEnd w:id="27"/>
    <w:p>
      <w:pPr>
        <w:pStyle w:val="BodyText"/>
      </w:pPr>
      <w:hyperlink w:anchor="Multi-User-Development"/>
    </w:p>
    <w:p>
      <w:pPr>
        <w:pStyle w:val="BodyText"/>
      </w:pPr>
      <w:r>
        <w:t xml:space="preserve">Table 2: Multi-User Development</w:t>
      </w:r>
    </w:p>
    <w:bookmarkStart w:id="34" w:name="Multi-User-Development"/>
    <w:p>
      <w:pPr>
        <w:pStyle w:val="BodyText"/>
      </w:pPr>
      <w:r>
        <w:drawing>
          <wp:inline>
            <wp:extent cx="9525" cy="952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iCs/>
        </w:rPr>
        <w:t xml:space="preserve">Multi-User Development Overall Use Quantum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iCs/>
        </w:rPr>
        <w:t xml:space="preserve">Use Quantum within each Strata Unit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Predominant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Ancillary</w:t>
            </w:r>
          </w:p>
        </w:tc>
      </w:tr>
      <w:tr>
        <w:tc>
          <w:tcPr>
            <w:gridSpan w:val="2"/>
          </w:tcPr>
          <w:p>
            <w:pPr>
              <w:pStyle w:val="Compact"/>
              <w:jc w:val="center"/>
            </w:pPr>
            <w:r>
              <w:t xml:space="preserve"> </w:t>
            </w:r>
            <w:r>
              <w:rPr>
                <w:b/>
                <w:bCs/>
              </w:rPr>
              <w:t xml:space="preserve">Entire Development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Minimum 60%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Maximum 40%</w:t>
            </w:r>
          </w:p>
        </w:tc>
      </w:tr>
      <w:tr>
        <w:tc>
          <w:tcPr>
            <w:gridSpan w:val="2"/>
          </w:tcPr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 Each Strata-subdivided Unit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Minimum 60%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Maximum 40%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Up to 40% of the floor area of the development is for ancillary quantum at the development level, which comprises all common areas outside the units (such as common corridors, staircases, lifts, toilets, M&amp;E spaces) and all secondary uses (see the</w:t>
      </w:r>
      <w:r>
        <w:t xml:space="preserve"> </w:t>
      </w:r>
      <w:r>
        <w:rPr>
          <w:i/>
          <w:iCs/>
        </w:rPr>
        <w:t xml:space="preserve">‘Guidelines for Allowable Uses’</w:t>
      </w:r>
      <w:r>
        <w:t xml:space="preserve"> </w:t>
      </w:r>
      <w:r>
        <w:t xml:space="preserve">section</w:t>
      </w:r>
      <w:r>
        <w:t xml:space="preserve"> </w:t>
      </w:r>
      <w:hyperlink r:id="rId32">
        <w:r>
          <w:rPr>
            <w:rStyle w:val="Hyperlink"/>
          </w:rPr>
          <w:t xml:space="preserve">here</w:t>
        </w:r>
      </w:hyperlink>
      <w:r>
        <w:t xml:space="preserve">).</w:t>
      </w:r>
    </w:p>
    <w:p>
      <w:pPr>
        <w:pStyle w:val="BodyText"/>
      </w:pPr>
      <w:r>
        <w:t xml:space="preserve">Within each strata-subdivided industrial unit, at least 60% of the floor area shall be used for industrial uses. Ancillary uses (e.g. ancillary office, meeting rooms) shall not occupy more than 40% of the unit’s floor area.</w:t>
      </w:r>
    </w:p>
    <w:bookmarkStart w:id="33" w:name="Multi-User-Development1"/>
    <w:bookmarkEnd w:id="33"/>
    <w:bookmarkEnd w:id="34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21 February 2022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32" Target="/Corporate/Guidelines/Development-Control/Non-Residential/B1/Allowable-Us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/Corporate/Guidelines/Development-Control/Non-Residential/B1/Allowable-U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2024-05-23T00:51:43Z</dcterms:created>
  <dcterms:modified xsi:type="dcterms:W3CDTF">2024-05-23T00:51:43Z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