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llowable-uses"/>
    <w:p>
      <w:pPr>
        <w:pStyle w:val="Heading3"/>
      </w:pPr>
      <w:r>
        <w:t xml:space="preserve">Allowable Uses</w:t>
      </w:r>
    </w:p>
    <w:p>
      <w:pPr>
        <w:pStyle w:val="FirstParagraph"/>
      </w:pPr>
      <w:r>
        <w:t xml:space="preserve">Examples of allowable uses on B2 sites under the predominant and ancillary (or supporting) use categories are shown below. Uses not indicated below shall be evaluated on the merits of the case.</w:t>
      </w:r>
    </w:p>
    <w:p>
      <w:pPr>
        <w:pStyle w:val="BodyText"/>
      </w:pPr>
      <w:r>
        <w:rPr>
          <w:b/>
          <w:bCs/>
        </w:rPr>
        <w:t xml:space="preserve">Allowable Predominant Uses</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rPr>
                <w:b/>
                <w:bCs/>
              </w:rPr>
              <w:t xml:space="preserve">Minimum 60% Predominant Use </w:t>
            </w:r>
          </w:p>
        </w:tc>
      </w:tr>
      <w:tr>
        <w:tc>
          <w:tcPr/>
          <w:p>
            <w:pPr>
              <w:pStyle w:val="Compact"/>
              <w:jc w:val="center"/>
            </w:pPr>
            <w:r>
              <w:t xml:space="preserve">Manufacturing</w:t>
            </w:r>
            <w:r>
              <w:br/>
            </w:r>
            <w:r>
              <w:t xml:space="preserve">(General Industry)</w:t>
            </w:r>
          </w:p>
        </w:tc>
        <w:tc>
          <w:tcPr/>
          <w:p>
            <w:pPr>
              <w:pStyle w:val="Compact"/>
              <w:jc w:val="center"/>
            </w:pPr>
            <w:r>
              <w:t xml:space="preserve">Repair &amp; Servicing</w:t>
            </w:r>
          </w:p>
        </w:tc>
      </w:tr>
      <w:tr>
        <w:tc>
          <w:tcPr/>
          <w:p>
            <w:pPr>
              <w:pStyle w:val="Compact"/>
              <w:jc w:val="center"/>
            </w:pPr>
            <w:r>
              <w:t xml:space="preserve">Production</w:t>
            </w:r>
          </w:p>
        </w:tc>
        <w:tc>
          <w:tcPr/>
          <w:p>
            <w:pPr>
              <w:pStyle w:val="Compact"/>
              <w:jc w:val="center"/>
            </w:pPr>
            <w:r>
              <w:t xml:space="preserve">Storage of chemicals, oils</w:t>
            </w:r>
          </w:p>
        </w:tc>
      </w:tr>
      <w:tr>
        <w:tc>
          <w:tcPr/>
          <w:p>
            <w:pPr>
              <w:pStyle w:val="Compact"/>
              <w:jc w:val="center"/>
            </w:pPr>
            <w:r>
              <w:t xml:space="preserve">Assembly</w:t>
            </w:r>
          </w:p>
        </w:tc>
        <w:tc>
          <w:tcPr/>
          <w:p>
            <w:pPr>
              <w:pStyle w:val="Compact"/>
              <w:jc w:val="center"/>
            </w:pPr>
            <w:r>
              <w:t xml:space="preserve">Knitting Mills</w:t>
            </w:r>
          </w:p>
        </w:tc>
      </w:tr>
      <w:tr>
        <w:tc>
          <w:tcPr/>
          <w:p>
            <w:pPr>
              <w:pStyle w:val="Compact"/>
              <w:jc w:val="center"/>
            </w:pPr>
            <w:r>
              <w:t xml:space="preserve">Core Media</w:t>
            </w:r>
            <w:r>
              <w:rPr>
                <w:vertAlign w:val="superscript"/>
              </w:rPr>
              <w:t xml:space="preserve">1</w:t>
            </w:r>
          </w:p>
        </w:tc>
        <w:tc>
          <w:tcPr/>
          <w:p>
            <w:pPr>
              <w:pStyle w:val="Compact"/>
              <w:jc w:val="center"/>
            </w:pPr>
            <w:r>
              <w:t xml:space="preserve">E-Business</w:t>
            </w:r>
            <w:r>
              <w:rPr>
                <w:vertAlign w:val="superscript"/>
              </w:rPr>
              <w:t xml:space="preserve">2</w:t>
            </w:r>
          </w:p>
        </w:tc>
      </w:tr>
      <w:tr>
        <w:tc>
          <w:tcPr/>
          <w:p>
            <w:pPr>
              <w:pStyle w:val="Compact"/>
              <w:jc w:val="center"/>
            </w:pPr>
            <w:r>
              <w:t xml:space="preserve"> Industrial Training</w:t>
            </w:r>
          </w:p>
        </w:tc>
        <w:tc>
          <w:tcPr/>
          <w:p>
            <w:pPr>
              <w:pStyle w:val="Compact"/>
              <w:jc w:val="center"/>
            </w:pPr>
            <w:r>
              <w:t xml:space="preserve"> </w:t>
            </w:r>
          </w:p>
        </w:tc>
      </w:tr>
    </w:tbl>
    <w:bookmarkEnd w:id="20"/>
    <w:bookmarkStart w:id="22" w:name="column_0_right_1_txtTitle"/>
    <w:bookmarkStart w:id="21" w:name="section"/>
    <w:p>
      <w:pPr>
        <w:pStyle w:val="Heading3"/>
      </w:pPr>
    </w:p>
    <w:bookmarkEnd w:id="21"/>
    <w:bookmarkEnd w:id="22"/>
    <w:p>
      <w:pPr>
        <w:pStyle w:val="FirstParagraph"/>
      </w:pPr>
      <w:hyperlink w:anchor="Core-Media"/>
    </w:p>
    <w:p>
      <w:pPr>
        <w:pStyle w:val="BodyText"/>
      </w:pPr>
      <w:r>
        <w:rPr>
          <w:vertAlign w:val="superscript"/>
        </w:rPr>
        <w:t xml:space="preserve">1</w:t>
      </w:r>
      <w:r>
        <w:t xml:space="preserve"> </w:t>
      </w:r>
      <w:r>
        <w:t xml:space="preserve">Core Media</w:t>
      </w:r>
    </w:p>
    <w:bookmarkStart w:id="32" w:name="Core-Media"/>
    <w:p>
      <w:pPr>
        <w:pStyle w:val="BodyText"/>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bookmarkStart w:id="31" w:name="Core-Media1"/>
    <w:p>
      <w:pPr>
        <w:pStyle w:val="BodyText"/>
      </w:pPr>
      <w:hyperlink w:anchor="Pre-Production"/>
    </w:p>
    <w:bookmarkStart w:id="23" w:name="pre-production"/>
    <w:p>
      <w:pPr>
        <w:pStyle w:val="Heading4"/>
      </w:pPr>
      <w:r>
        <w:t xml:space="preserve">* Pre-production</w:t>
      </w:r>
    </w:p>
    <w:bookmarkEnd w:id="23"/>
    <w:bookmarkStart w:id="24" w:name="Pre-Production"/>
    <w:p>
      <w:pPr>
        <w:pStyle w:val="FirstParagraph"/>
      </w:pPr>
      <w:r>
        <w:t xml:space="preserve">Pre-production activities provide creative conceptualisation, scripting, editorial editing, composing and text layout.</w:t>
      </w:r>
    </w:p>
    <w:bookmarkEnd w:id="24"/>
    <w:p>
      <w:pPr>
        <w:pStyle w:val="BodyText"/>
      </w:pPr>
      <w:hyperlink w:anchor="Production"/>
    </w:p>
    <w:bookmarkStart w:id="25" w:name="production"/>
    <w:p>
      <w:pPr>
        <w:pStyle w:val="Heading4"/>
      </w:pPr>
      <w:r>
        <w:t xml:space="preserve">^ Production</w:t>
      </w:r>
    </w:p>
    <w:bookmarkEnd w:id="25"/>
    <w:bookmarkStart w:id="26" w:name="Production"/>
    <w:p>
      <w:pPr>
        <w:pStyle w:val="FirstParagraph"/>
      </w:pPr>
      <w:r>
        <w:t xml:space="preserve">Production activities may include studio production (including dressing rooms), location production, audio recording, dubbing, media library services, printing press.</w:t>
      </w:r>
    </w:p>
    <w:bookmarkEnd w:id="26"/>
    <w:p>
      <w:pPr>
        <w:pStyle w:val="BodyText"/>
      </w:pPr>
      <w:hyperlink w:anchor="Network-Programming"/>
    </w:p>
    <w:bookmarkStart w:id="27" w:name="network-programming"/>
    <w:p>
      <w:pPr>
        <w:pStyle w:val="Heading4"/>
      </w:pPr>
      <w:r>
        <w:rPr>
          <w:vertAlign w:val="superscript"/>
        </w:rPr>
        <w:t xml:space="preserve">#</w:t>
      </w:r>
      <w:r>
        <w:t xml:space="preserve"> </w:t>
      </w:r>
      <w:r>
        <w:t xml:space="preserve">Network Programming</w:t>
      </w:r>
    </w:p>
    <w:bookmarkEnd w:id="27"/>
    <w:bookmarkStart w:id="28" w:name="Network-Programming"/>
    <w:p>
      <w:pPr>
        <w:pStyle w:val="FirstParagraph"/>
      </w:pPr>
      <w:r>
        <w:t xml:space="preserve">Network programming activities may include scheduling, programme management, transmission services, origination playback.</w:t>
      </w:r>
    </w:p>
    <w:bookmarkEnd w:id="28"/>
    <w:p>
      <w:pPr>
        <w:pStyle w:val="BodyText"/>
      </w:pPr>
      <w:hyperlink w:anchor="PPD"/>
    </w:p>
    <w:bookmarkStart w:id="29" w:name="post-production-and-distribution"/>
    <w:p>
      <w:pPr>
        <w:pStyle w:val="Heading4"/>
      </w:pPr>
      <w:r>
        <w:rPr>
          <w:vertAlign w:val="superscript"/>
        </w:rPr>
        <w:t xml:space="preserve">@</w:t>
      </w:r>
      <w:r>
        <w:t xml:space="preserve"> </w:t>
      </w:r>
      <w:r>
        <w:t xml:space="preserve">Post-production and Distribution</w:t>
      </w:r>
    </w:p>
    <w:bookmarkEnd w:id="29"/>
    <w:bookmarkStart w:id="30" w:name="PPD"/>
    <w:p>
      <w:pPr>
        <w:pStyle w:val="FirstParagraph"/>
      </w:pP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30"/>
    <w:bookmarkEnd w:id="31"/>
    <w:bookmarkEnd w:id="32"/>
    <w:p>
      <w:pPr>
        <w:pStyle w:val="BodyText"/>
      </w:pPr>
      <w:hyperlink w:anchor="E-Business"/>
    </w:p>
    <w:p>
      <w:pPr>
        <w:pStyle w:val="BodyText"/>
      </w:pPr>
      <w:r>
        <w:rPr>
          <w:vertAlign w:val="superscript"/>
        </w:rPr>
        <w:t xml:space="preserve">2</w:t>
      </w:r>
      <w:r>
        <w:t xml:space="preserve"> </w:t>
      </w:r>
      <w:r>
        <w:t xml:space="preserve">E-Business</w:t>
      </w:r>
    </w:p>
    <w:bookmarkStart w:id="34" w:name="E-Business"/>
    <w:p>
      <w:pPr>
        <w:pStyle w:val="BodyText"/>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p>
      <w:pPr>
        <w:pStyle w:val="BodyText"/>
      </w:pPr>
      <w:r>
        <w:br/>
      </w:r>
    </w:p>
    <w:bookmarkStart w:id="33" w:name="E-Business1"/>
    <w:bookmarkEnd w:id="33"/>
    <w:bookmarkEnd w:id="34"/>
    <w:p>
      <w:pPr>
        <w:pStyle w:val="BodyText"/>
      </w:pPr>
      <w:r>
        <w:rPr>
          <w:b/>
          <w:bCs/>
        </w:rPr>
        <w:t xml:space="preserve">Allowable Ancillary Uses</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rPr>
                <w:b/>
                <w:bCs/>
              </w:rPr>
              <w:t xml:space="preserve">Maximum 40% Ancillary Use</w:t>
            </w:r>
          </w:p>
        </w:tc>
      </w:tr>
      <w:tr>
        <w:tc>
          <w:tcPr/>
          <w:p>
            <w:pPr>
              <w:pStyle w:val="Compact"/>
              <w:jc w:val="center"/>
            </w:pPr>
            <w:r>
              <w:t xml:space="preserve">Ancillary Office</w:t>
            </w:r>
          </w:p>
        </w:tc>
        <w:tc>
          <w:tcPr/>
          <w:p>
            <w:pPr>
              <w:pStyle w:val="Compact"/>
              <w:jc w:val="center"/>
            </w:pPr>
            <w:r>
              <w:t xml:space="preserve">Meeting Room</w:t>
            </w:r>
          </w:p>
        </w:tc>
      </w:tr>
      <w:tr>
        <w:tc>
          <w:tcPr/>
          <w:p>
            <w:pPr>
              <w:pStyle w:val="Compact"/>
              <w:jc w:val="center"/>
            </w:pPr>
            <w:r>
              <w:t xml:space="preserve">Sick Room</w:t>
            </w:r>
          </w:p>
        </w:tc>
        <w:tc>
          <w:tcPr/>
          <w:p>
            <w:pPr>
              <w:pStyle w:val="Compact"/>
              <w:jc w:val="center"/>
            </w:pPr>
            <w:r>
              <w:t xml:space="preserve">Diesel and Pump Point</w:t>
            </w:r>
          </w:p>
        </w:tc>
      </w:tr>
      <w:tr>
        <w:tc>
          <w:tcPr/>
          <w:p>
            <w:pPr>
              <w:pStyle w:val="Compact"/>
              <w:jc w:val="center"/>
            </w:pPr>
            <w:r>
              <w:t xml:space="preserve">M&amp;E Services</w:t>
            </w:r>
          </w:p>
        </w:tc>
        <w:tc>
          <w:tcPr/>
          <w:p>
            <w:pPr>
              <w:pStyle w:val="Compact"/>
              <w:jc w:val="center"/>
            </w:pPr>
            <w:r>
              <w:t xml:space="preserve">Showroom</w:t>
            </w:r>
          </w:p>
        </w:tc>
      </w:tr>
      <w:tr>
        <w:tc>
          <w:tcPr/>
          <w:p>
            <w:pPr>
              <w:pStyle w:val="Compact"/>
              <w:jc w:val="center"/>
            </w:pPr>
            <w:r>
              <w:t xml:space="preserve">Industrial Canteen</w:t>
            </w:r>
          </w:p>
        </w:tc>
        <w:tc>
          <w:tcPr/>
          <w:p>
            <w:pPr>
              <w:pStyle w:val="Compact"/>
              <w:jc w:val="center"/>
            </w:pPr>
            <w:r>
              <w:t xml:space="preserve">Selected Commercial Uses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2024-05-23T09:31:13Z</dcterms:created>
  <dcterms:modified xsi:type="dcterms:W3CDTF">2024-05-23T09:31:13Z</dcterms:modified>
</cp:coreProperties>
</file>

<file path=docProps/custom.xml><?xml version="1.0" encoding="utf-8"?>
<Properties xmlns="http://schemas.openxmlformats.org/officeDocument/2006/custom-properties" xmlns:vt="http://schemas.openxmlformats.org/officeDocument/2006/docPropsVTypes"/>
</file>