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https://ura.gov.sg/-/media/Corporate/Guidelines/Development-control/Industrial/B203_Building_Height.jpg?h=100%25&amp;w=100%25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Floor-to-Floor-Height"/>
    </w:p>
    <w:p>
      <w:pPr>
        <w:pStyle w:val="BodyText"/>
      </w:pPr>
      <w:r>
        <w:t xml:space="preserve">Floor-to-Floor Height</w:t>
      </w:r>
    </w:p>
    <w:bookmarkStart w:id="27" w:name="Floor-to-Floor-Height"/>
    <w:p>
      <w:pPr>
        <w:pStyle w:val="BodyText"/>
      </w:pPr>
      <w:r>
        <w:t xml:space="preserve">The minimum floor-to-floor height of industrial buildings is 4.0m.</w:t>
      </w:r>
    </w:p>
    <w:bookmarkStart w:id="26" w:name="Floor-to-Floor-Height1"/>
    <w:bookmarkEnd w:id="26"/>
    <w:bookmarkEnd w:id="27"/>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203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203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2024-05-23T03:20:13Z</dcterms:created>
  <dcterms:modified xsi:type="dcterms:W3CDTF">2024-05-23T03:20:13Z</dcterms:modified>
</cp:coreProperties>
</file>

<file path=docProps/custom.xml><?xml version="1.0" encoding="utf-8"?>
<Properties xmlns="http://schemas.openxmlformats.org/officeDocument/2006/custom-properties" xmlns:vt="http://schemas.openxmlformats.org/officeDocument/2006/docPropsVTypes"/>
</file>