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esel-and-petrol-pump-points"/>
    <w:p>
      <w:pPr>
        <w:pStyle w:val="Heading3"/>
      </w:pPr>
      <w:r>
        <w:t xml:space="preserve">Diesel and Petrol Pump Points</w:t>
      </w:r>
    </w:p>
    <w:p>
      <w:pPr>
        <w:pStyle w:val="FirstParagraph"/>
      </w:pPr>
      <w:r>
        <w:t xml:space="preserve">Transport-related companies or industries requiring diesel/petrol to serve their own fleet of vehicles or industrial operations may set up pump points within B2 industrial developments subject to the following:</w:t>
      </w:r>
    </w:p>
    <w:p>
      <w:pPr>
        <w:pStyle w:val="Compact"/>
        <w:numPr>
          <w:ilvl w:val="0"/>
          <w:numId w:val="1001"/>
        </w:numPr>
      </w:pPr>
      <w:r>
        <w:t xml:space="preserve">The site on which the pump points are to be installed is zoned either B2 or Transport Facilities in the Master Plan.</w:t>
      </w:r>
    </w:p>
    <w:p>
      <w:pPr>
        <w:pStyle w:val="Compact"/>
        <w:numPr>
          <w:ilvl w:val="0"/>
          <w:numId w:val="1001"/>
        </w:numPr>
      </w:pPr>
      <w:r>
        <w:t xml:space="preserve">The pump points shall be ancillary to the predominant use such as vehicle depots, transport bases, motor repair/service workshops etc.</w:t>
      </w:r>
    </w:p>
    <w:p>
      <w:pPr>
        <w:pStyle w:val="Compact"/>
        <w:numPr>
          <w:ilvl w:val="0"/>
          <w:numId w:val="1001"/>
        </w:numPr>
      </w:pPr>
      <w:r>
        <w:t xml:space="preserve">There shall be no retail of diesel and petrol to the general public and other vehicles not owned by the company or its affiliated companies.</w:t>
      </w:r>
    </w:p>
    <w:p>
      <w:pPr>
        <w:pStyle w:val="Compact"/>
        <w:numPr>
          <w:ilvl w:val="0"/>
          <w:numId w:val="1001"/>
        </w:numPr>
      </w:pPr>
      <w:r>
        <w:t xml:space="preserve">If the development is open to and serves the general public (eg a car repair workshop that serves the public), a prominent notice shall be displayed at the pump point to indicate that the pump points shall be reserved solely for the use by the company’s own fleet or the fleet of its affiliated companies.</w:t>
      </w:r>
    </w:p>
    <w:p>
      <w:pPr>
        <w:pStyle w:val="Compact"/>
        <w:numPr>
          <w:ilvl w:val="0"/>
          <w:numId w:val="1001"/>
        </w:numPr>
      </w:pPr>
      <w:r>
        <w:t xml:space="preserve">The number of pump points shall be limited to 2.</w:t>
      </w:r>
    </w:p>
    <w:p>
      <w:pPr>
        <w:pStyle w:val="Compact"/>
        <w:numPr>
          <w:ilvl w:val="0"/>
          <w:numId w:val="1001"/>
        </w:numPr>
      </w:pPr>
      <w:r>
        <w:t xml:space="preserve">Storage tanks shall generally be placed underground so that it shall not be visually obtrusive.</w:t>
      </w:r>
    </w:p>
    <w:p>
      <w:pPr>
        <w:pStyle w:val="Compact"/>
        <w:numPr>
          <w:ilvl w:val="0"/>
          <w:numId w:val="1001"/>
        </w:numPr>
      </w:pPr>
      <w:r>
        <w:t xml:space="preserve">Relevant clearances for the pump points shall be obtained from NEA and FSSD.</w:t>
      </w:r>
    </w:p>
    <w:p>
      <w:r>
        <w:pict>
          <v:rect style="width:0;height:1.5pt" o:hralign="center" o:hrstd="t" o:hr="t"/>
        </w:pict>
      </w:r>
    </w:p>
    <w:p>
      <w:pPr>
        <w:pStyle w:val="FirstParagraph"/>
      </w:pPr>
      <w:r>
        <w:rPr>
          <w:i/>
          <w:iCs/>
        </w:rPr>
        <w:t xml:space="preserve">Last updated on 10 September 2020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2024-05-23T00:51:45Z</dcterms:created>
  <dcterms:modified xsi:type="dcterms:W3CDTF">2024-05-23T00:51:45Z</dcterms:modified>
</cp:coreProperties>
</file>

<file path=docProps/custom.xml><?xml version="1.0" encoding="utf-8"?>
<Properties xmlns="http://schemas.openxmlformats.org/officeDocument/2006/custom-properties" xmlns:vt="http://schemas.openxmlformats.org/officeDocument/2006/docPropsVTypes"/>
</file>