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introduction"/>
    <w:p>
      <w:pPr>
        <w:pStyle w:val="Heading3"/>
      </w:pPr>
      <w:r>
        <w:t xml:space="preserve">Introduction</w:t>
      </w:r>
    </w:p>
    <w:p>
      <w:pPr>
        <w:pStyle w:val="FirstParagraph"/>
      </w:pPr>
      <w:r>
        <w:t xml:space="preserve">Industrial developments comprise factories, warehouses, telecommunication and utility buildings. These developments may be allowed on land zoned Business 1 (B1) or Business 2 (B2).</w:t>
      </w:r>
    </w:p>
    <w:p>
      <w:pPr>
        <w:pStyle w:val="BodyText"/>
      </w:pPr>
      <w:r>
        <w:t xml:space="preserve">Depending on the nature of their activities, clean and light industries are allowed in Business 1 (B1) zone. General and special industries are to be located in Business 2 (B2) zone.</w:t>
      </w:r>
    </w:p>
    <w:p>
      <w:pPr>
        <w:pStyle w:val="BodyText"/>
      </w:pPr>
      <w:r>
        <w:t xml:space="preserve">The National Environment Agency (NEA) would require a 100m nuisance buffer from a B2 zone to the surrounding area. The allowable types of industry or use within industrial developments in B2 zone, based on NEA’s nuisance buffer requirements, are listed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-services.nea.gov.sg/ias/PublicApplicant/Homepage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-services.nea.gov.sg/ias/PublicApplicant/Homepage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2024-05-23T00:51:46Z</dcterms:created>
  <dcterms:modified xsi:type="dcterms:W3CDTF">2024-05-23T00:51:46Z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