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inimum-unit-size"/>
    <w:p>
      <w:pPr>
        <w:pStyle w:val="Heading3"/>
      </w:pPr>
      <w:r>
        <w:t xml:space="preserve">Minimum Unit Size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https://ura.gov.sg/-/media/Corporate/Guidelines/Development-control/Industrial/B104_Minimum_Unit_Size.jpg?h=100%25&amp;w=100%25</w:t>
        </w:r>
      </w:hyperlink>
    </w:p>
    <w:p>
      <w:pPr>
        <w:pStyle w:val="BodyText"/>
      </w:pPr>
      <w:r>
        <w:rPr>
          <w:i/>
          <w:iCs/>
        </w:rPr>
        <w:t xml:space="preserve">Minimum Unit Size</w:t>
      </w:r>
    </w:p>
    <w:p>
      <w:pPr>
        <w:pStyle w:val="BodyText"/>
      </w:pPr>
      <w:r>
        <w:t xml:space="preserve">The minimum size of an industrial unit is 150sqm. This is deemed a meaningful space to meet the operational needs of industrial uses.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ura.gov.sg/-/media/Corporate/Guidelines/Development-control/Industrial/B104_Minimum_Unit_Size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ura.gov.sg/-/media/Corporate/Guidelines/Development-control/Industrial/B104_Minimum_Unit_Size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2024-05-23T03:20:14Z</dcterms:created>
  <dcterms:modified xsi:type="dcterms:W3CDTF">2024-05-23T03:20:14Z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