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uilding-height"/>
    <w:p>
      <w:pPr>
        <w:pStyle w:val="Heading3"/>
      </w:pPr>
      <w:r>
        <w:t xml:space="preserve">Building Height</w:t>
      </w:r>
    </w:p>
    <w:p>
      <w:pPr>
        <w:pStyle w:val="FirstParagraph"/>
      </w:pPr>
      <w:hyperlink r:id="rId20">
        <w:r>
          <w:rPr>
            <w:rStyle w:val="Hyperlink"/>
          </w:rPr>
          <w:t xml:space="preserve">https://www.ura.gov.sg/-/media/Corporate/Guidelines/Development-control/Industrial/BP04_Building_Height.jpg?h=100%25&amp;w=100%25</w:t>
        </w:r>
      </w:hyperlink>
    </w:p>
    <w:p>
      <w:pPr>
        <w:pStyle w:val="BodyText"/>
      </w:pPr>
      <w:r>
        <w:rPr>
          <w:i/>
          <w:iCs/>
        </w:rPr>
        <w:t xml:space="preserve">Building Height</w:t>
      </w:r>
    </w:p>
    <w:bookmarkEnd w:id="21"/>
    <w:bookmarkStart w:id="23" w:name="column_0_right_1_txtTitle"/>
    <w:bookmarkStart w:id="22" w:name="section"/>
    <w:p>
      <w:pPr>
        <w:pStyle w:val="Heading3"/>
      </w:pPr>
    </w:p>
    <w:bookmarkEnd w:id="22"/>
    <w:bookmarkEnd w:id="23"/>
    <w:p>
      <w:pPr>
        <w:pStyle w:val="FirstParagraph"/>
      </w:pPr>
      <w:hyperlink w:anchor="Overall-Building-Height"/>
    </w:p>
    <w:p>
      <w:pPr>
        <w:pStyle w:val="BodyText"/>
      </w:pPr>
      <w:r>
        <w:t xml:space="preserve">Overall Building Height</w:t>
      </w:r>
    </w:p>
    <w:bookmarkStart w:id="25" w:name="Overall-Building-Height"/>
    <w:p>
      <w:pPr>
        <w:pStyle w:val="BodyText"/>
      </w:pPr>
      <w:r>
        <w:t xml:space="preserve">Unless otherwise stated, the overall building height</w:t>
      </w:r>
      <w:r>
        <w:rPr>
          <w:vertAlign w:val="superscript"/>
        </w:rPr>
        <w:t xml:space="preserve">1</w:t>
      </w:r>
      <w:r>
        <w:t xml:space="preserve"> </w:t>
      </w:r>
      <w:r>
        <w:t xml:space="preserve">of BP developments is subject to compliance with the technical height controls of the relevant agencies such as Civil Aviation Authority of Singapore (CAAS) and the Defence Science and Technology Agency (DSTA). 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 Building height is based on Singapore Height Datum (SHD). </w:t>
      </w:r>
    </w:p>
    <w:bookmarkStart w:id="24" w:name="Overall-Building-Height1"/>
    <w:bookmarkEnd w:id="24"/>
    <w:bookmarkEnd w:id="25"/>
    <w:p>
      <w:pPr>
        <w:pStyle w:val="BodyText"/>
      </w:pPr>
      <w:hyperlink w:anchor="Floor-to-Floor-Height"/>
    </w:p>
    <w:p>
      <w:pPr>
        <w:pStyle w:val="BodyText"/>
      </w:pPr>
      <w:r>
        <w:t xml:space="preserve">Floor-to-Floor Height</w:t>
      </w:r>
    </w:p>
    <w:bookmarkStart w:id="27" w:name="Floor-to-Floor-Height"/>
    <w:p>
      <w:pPr>
        <w:pStyle w:val="BodyText"/>
      </w:pPr>
      <w:r>
        <w:t xml:space="preserve">There is no floor-to-floor height control for BPs.</w:t>
      </w:r>
    </w:p>
    <w:bookmarkStart w:id="26" w:name="Floor-to-Floor-Height1"/>
    <w:bookmarkEnd w:id="26"/>
    <w:bookmarkEnd w:id="27"/>
    <w:p>
      <w:pPr>
        <w:pStyle w:val="BodyText"/>
      </w:pPr>
      <w:hyperlink w:anchor="Sky-Terrace"/>
    </w:p>
    <w:p>
      <w:pPr>
        <w:pStyle w:val="BodyText"/>
      </w:pPr>
      <w:r>
        <w:t xml:space="preserve">Additional Height for Predominant Sky Terrace Storey</w:t>
      </w:r>
    </w:p>
    <w:bookmarkStart w:id="31" w:name="Sky-Terrace"/>
    <w:p>
      <w:pPr>
        <w:pStyle w:val="BodyText"/>
      </w:pPr>
      <w:hyperlink r:id="rId28">
        <w:r>
          <w:rPr>
            <w:rStyle w:val="Hyperlink"/>
          </w:rPr>
          <w:t xml:space="preserve">https://www.ura.gov.sg/-/media/Corporate/Guidelines/Development-control/Commercial/C04_Additional_Height_for_Sky_Terrace_Floors.jpg?h=100%25&amp;w=100%25</w:t>
        </w:r>
      </w:hyperlink>
    </w:p>
    <w:p>
      <w:pPr>
        <w:pStyle w:val="BodyText"/>
      </w:pPr>
      <w:r>
        <w:rPr>
          <w:i/>
          <w:iCs/>
        </w:rPr>
        <w:t xml:space="preserve">Additional Height for Predominant Sky Terrace Storeys</w:t>
      </w:r>
    </w:p>
    <w:p>
      <w:pPr>
        <w:pStyle w:val="BodyText"/>
      </w:pPr>
      <w:r>
        <w:t xml:space="preserve">Predominant Sky Terrace Storeys (PSTS) are floors where the sky terrace areas within the 45-degree line occupy at least 60% of the floor plate. </w:t>
      </w:r>
    </w:p>
    <w:p>
      <w:pPr>
        <w:pStyle w:val="BodyText"/>
      </w:pPr>
      <w:r>
        <w:t xml:space="preserve">If the proposed number of storeys in the development is more than 7 storeys, BPs with PSTS may be allowed additional building height depending on the number of storeys proposed as shown in the table below.</w:t>
      </w:r>
    </w:p>
    <w:p>
      <w:pPr>
        <w:pStyle w:val="BodyText"/>
      </w:pPr>
      <w:r>
        <w:rPr>
          <w:b/>
          <w:bCs/>
        </w:rPr>
        <w:t xml:space="preserve">Additional Building Height based on Proposed Storey Height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Proposed Storey Height of Development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Additional Building Height Allowed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7 - 20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21 - 30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31 - 40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41 - 50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25.0m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More than 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30.0m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The additional building height may only be distributed to the sky terrace floors within the development. Spaces for M&amp;E services located directly beneath the sky terrace floor may be included in the additional height.</w:t>
      </w:r>
    </w:p>
    <w:p>
      <w:pPr>
        <w:pStyle w:val="BodyText"/>
      </w:pPr>
      <w:r>
        <w:t xml:space="preserve">The overall building height is subject to technical height controls.</w:t>
      </w:r>
    </w:p>
    <w:p>
      <w:pPr>
        <w:pStyle w:val="BodyText"/>
      </w:pPr>
      <w:r>
        <w:t xml:space="preserve">The additional building height shall not apply to:</w:t>
      </w:r>
    </w:p>
    <w:p>
      <w:pPr>
        <w:pStyle w:val="Compact"/>
        <w:numPr>
          <w:ilvl w:val="0"/>
          <w:numId w:val="1001"/>
        </w:numPr>
      </w:pPr>
      <w:r>
        <w:t xml:space="preserve">Developments within Conservation Areas and sites with National Monuments;</w:t>
      </w:r>
    </w:p>
    <w:p>
      <w:pPr>
        <w:pStyle w:val="Compact"/>
        <w:numPr>
          <w:ilvl w:val="0"/>
          <w:numId w:val="1001"/>
        </w:numPr>
      </w:pPr>
      <w:r>
        <w:t xml:space="preserve">Developments with height control of 6 storeys or less; or</w:t>
      </w:r>
    </w:p>
    <w:p>
      <w:pPr>
        <w:pStyle w:val="Compact"/>
        <w:numPr>
          <w:ilvl w:val="0"/>
          <w:numId w:val="1001"/>
        </w:numPr>
      </w:pPr>
      <w:r>
        <w:t xml:space="preserve">Developments with special controls e.g. areas with street block plans.</w:t>
      </w:r>
    </w:p>
    <w:p>
      <w:pPr>
        <w:pStyle w:val="FirstParagraph"/>
      </w:pPr>
      <w:r>
        <w:t xml:space="preserve">In addition to (a) – (c), any additional building height will be subject to evaluation for developments adjacent to conserved buildings or in</w:t>
      </w:r>
      <w:r>
        <w:t xml:space="preserve"> </w:t>
      </w:r>
      <w:hyperlink r:id="rId29">
        <w:r>
          <w:rPr>
            <w:rStyle w:val="Hyperlink"/>
          </w:rPr>
          <w:t xml:space="preserve">urban design areas</w:t>
        </w:r>
      </w:hyperlink>
      <w:r>
        <w:t xml:space="preserve"> with site-specific height considerations.</w:t>
      </w:r>
    </w:p>
    <w:bookmarkStart w:id="30" w:name="Sky-Terrace1"/>
    <w:bookmarkEnd w:id="30"/>
    <w:bookmarkEnd w:id="3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15 March 2022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Industrial/BP04_Building_Height.jpg?h=100%25&amp;w=100%25" TargetMode="External" /><Relationship Type="http://schemas.openxmlformats.org/officeDocument/2006/relationships/hyperlink" Id="rId29" Target="https://www.ura.gov.sg/Corporate/Guidelines/Urban-Desig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ura.gov.sg/-/media/Corporate/Guidelines/Development-control/Commercial/C04_Additional_Height_for_Sky_Terrace_Floors.jpg?h=100%25&amp;w=100%25" TargetMode="External" /><Relationship Type="http://schemas.openxmlformats.org/officeDocument/2006/relationships/hyperlink" Id="rId20" Target="https://www.ura.gov.sg/-/media/Corporate/Guidelines/Development-control/Industrial/BP04_Building_Height.jpg?h=100%25&amp;w=100%25" TargetMode="External" /><Relationship Type="http://schemas.openxmlformats.org/officeDocument/2006/relationships/hyperlink" Id="rId29" Target="https://www.ura.gov.sg/Corporate/Guidelines/Urban-Desig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2024-05-23T09:31:26Z</dcterms:created>
  <dcterms:modified xsi:type="dcterms:W3CDTF">2024-05-23T09:31:26Z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