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2"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31"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https://ura.gov.sg/-/media/Corporate/Guidelines/Development-control/Industrial/Range_Based_Car_Parking_Standard.jpg?h=100%25&amp;w=100%25</w:t>
        </w:r>
      </w:hyperlink>
    </w:p>
    <w:p>
      <w:pPr>
        <w:pStyle w:val="BodyText"/>
      </w:pPr>
      <w:r>
        <w:rPr>
          <w:i/>
          <w:iCs/>
        </w:rPr>
        <w:t xml:space="preserve">Range-based Parking Provision Standards</w:t>
      </w:r>
    </w:p>
    <w:bookmarkEnd w:id="26"/>
    <w:p>
      <w:pPr>
        <w:pStyle w:val="BodyText"/>
      </w:pPr>
      <w:hyperlink w:anchor="Provision"/>
    </w:p>
    <w:bookmarkStart w:id="27" w:name="X2bbb32bee3da7910b2f2c74520d95a9c7103e35"/>
    <w:p>
      <w:pPr>
        <w:pStyle w:val="Heading4"/>
      </w:pPr>
      <w:r>
        <w:t xml:space="preserve">Provision of Surplus Parking in New Developments</w:t>
      </w:r>
    </w:p>
    <w:bookmarkEnd w:id="27"/>
    <w:bookmarkStart w:id="28" w:name="Provision"/>
    <w:p>
      <w:pPr>
        <w:pStyle w:val="FirstParagraph"/>
      </w:pPr>
      <w:r>
        <w:t xml:space="preserve">New BP developments shall be subject to a process of waiver evaluation by LTA, if one wishes to provide surplus car and motor-cycle parking lots, ie parking provision above the upper bound based on the new RPPS.</w:t>
      </w:r>
    </w:p>
    <w:p>
      <w:pPr>
        <w:pStyle w:val="BodyText"/>
      </w:pPr>
      <w:r>
        <w:t xml:space="preserve">If LTA approves the waiver, surplus parking spaces in new BP developments within 400m of MRT and LRT stations shall be computed as GFA. Each surplus car parking lot shall be computed as 35sqm GFA, that being the average area of a car parking lot inclusive of circulation space. Each surplus motor-cycle parking lot shall be computed as 12sqm GFA.</w:t>
      </w:r>
    </w:p>
    <w:p>
      <w:pPr>
        <w:pStyle w:val="BodyText"/>
      </w:pPr>
      <w:r>
        <w:t xml:space="preserve">SLA may levy Land Betterment Charge for the additional GFA arising from the surplus car and motor-cycle parking lots, where applicable.</w:t>
      </w:r>
    </w:p>
    <w:bookmarkEnd w:id="28"/>
    <w:p>
      <w:pPr>
        <w:pStyle w:val="BodyText"/>
      </w:pPr>
      <w:hyperlink w:anchor="Conversion"/>
    </w:p>
    <w:bookmarkStart w:id="29" w:name="Xdc06430b05fa1a5d9ba4286b2672a048f032f23"/>
    <w:p>
      <w:pPr>
        <w:pStyle w:val="Heading4"/>
      </w:pPr>
      <w:r>
        <w:t xml:space="preserve">Conversion of Surplus Car Parking in Existing Developments</w:t>
      </w:r>
    </w:p>
    <w:bookmarkEnd w:id="29"/>
    <w:bookmarkStart w:id="30" w:name="Conversion"/>
    <w:p>
      <w:pPr>
        <w:pStyle w:val="FirstParagraph"/>
      </w:pPr>
      <w:r>
        <w:t xml:space="preserve">Existing BP developments</w:t>
      </w:r>
      <w:r>
        <w:t xml:space="preserve"> </w:t>
      </w:r>
      <w:r>
        <w:rPr>
          <w:b/>
          <w:bCs/>
        </w:rPr>
        <w:t xml:space="preserve">within 400m of MRT and LRT stations</w:t>
      </w:r>
      <w:r>
        <w:t xml:space="preserve"> </w:t>
      </w:r>
      <w:r>
        <w:t xml:space="preserve">may be allowed to permanently convert their surplus car parking spaces^ to other uses.</w:t>
      </w:r>
    </w:p>
    <w:p>
      <w:pPr>
        <w:pStyle w:val="BodyText"/>
      </w:pPr>
      <w:r>
        <w:t xml:space="preserve">^With the RPPS, surplus car parking lots in existing developments may arise if the upper bound for the development type is revised downward and/or if developments choose to reduce car parking provision to the lower bound set out by the RPPS.</w:t>
      </w:r>
    </w:p>
    <w:p>
      <w:pPr>
        <w:pStyle w:val="BodyText"/>
      </w:pPr>
      <w:r>
        <w:t xml:space="preserve">LTA may consider conversion of car parks up to the lower bound as stipulated in the RPPS. Interested building owners are to arrange for a pre-application consultation with LTA before submitting a development application to URA.</w:t>
      </w:r>
    </w:p>
    <w:p>
      <w:pPr>
        <w:pStyle w:val="BodyText"/>
      </w:pPr>
      <w:r>
        <w:t xml:space="preserve">The conversion of surplus car park may be allowed subject to compliance with ALL of the following:</w:t>
      </w:r>
    </w:p>
    <w:p>
      <w:pPr>
        <w:pStyle w:val="Compact"/>
        <w:numPr>
          <w:ilvl w:val="0"/>
          <w:numId w:val="1001"/>
        </w:numPr>
      </w:pPr>
      <w:r>
        <w:t xml:space="preserve">The proposed uses shall be in line with the Master Plan zoning for the site and the planning intention for the surrounding area. The detailed uses and any changes to the building form and design shall be subject to evaluation by URA and the relevant agencies.</w:t>
      </w:r>
    </w:p>
    <w:p>
      <w:pPr>
        <w:pStyle w:val="Compact"/>
        <w:numPr>
          <w:ilvl w:val="0"/>
          <w:numId w:val="1001"/>
        </w:numPr>
      </w:pPr>
      <w:r>
        <w:t xml:space="preserve">The existing infrastructure and traffic network shall be able to support the increase in GFA and uses, and take into consideration proposed measures to mitigate traffic generation.</w:t>
      </w:r>
    </w:p>
    <w:p>
      <w:pPr>
        <w:pStyle w:val="Compact"/>
        <w:numPr>
          <w:ilvl w:val="0"/>
          <w:numId w:val="1001"/>
        </w:numPr>
      </w:pPr>
      <w:r>
        <w:t xml:space="preserve">The resultant car parking provision shall be able to support the additional GFA and proposed uses.</w:t>
      </w:r>
    </w:p>
    <w:p>
      <w:pPr>
        <w:pStyle w:val="Compact"/>
        <w:numPr>
          <w:ilvl w:val="0"/>
          <w:numId w:val="1001"/>
        </w:numPr>
      </w:pPr>
      <w:r>
        <w:t xml:space="preserve">SLA may levy Land Betterment Charge for the additional GFA arising from the conversion, where applicable. The additional GFA arising from the conversion of surplus car parking, detailed uses and any changes to the building form and design shall be subject to evaluation by URA and the relevant agencies.</w:t>
      </w:r>
    </w:p>
    <w:p>
      <w:pPr>
        <w:pStyle w:val="Compact"/>
        <w:numPr>
          <w:ilvl w:val="0"/>
          <w:numId w:val="1001"/>
        </w:numPr>
      </w:pPr>
      <w:r>
        <w:t xml:space="preserve">Requests for conversion of surplus car parks may not be supported for sites where there are specific conditions imposed in planning approval or the government land sale that restrict the conversion of the surplus car parking spaces, or sites located within or adjacent to Conservation Areas where additional car parking spaces are needed to support the uses within the conserved buildings.</w:t>
      </w:r>
    </w:p>
    <w:p>
      <w:pPr>
        <w:pStyle w:val="FirstParagraph"/>
      </w:pPr>
      <w:r>
        <w:t xml:space="preserve">Additional GFA gained via the conversion of surplus car parking spaces shall not be taken into consideration in determining the maximum permissible intensity that may be allowed for the re-development of the site.</w:t>
      </w:r>
    </w:p>
    <w:p>
      <w:pPr>
        <w:pStyle w:val="BodyText"/>
      </w:pPr>
      <w:r>
        <w:t xml:space="preserve">Where surplus car parking spaces were allowed by LTA through a waiver application to exceed the upper bound of the Range-based Parking Provision Standards (RPPS) after 1 Feb 2019, the development will not be allowed to convert any of the surplus car parking spaces to other uses.</w:t>
      </w:r>
    </w:p>
    <w:bookmarkEnd w:id="30"/>
    <w:bookmarkEnd w:id="31"/>
    <w:bookmarkEnd w:id="32"/>
    <w:p>
      <w:pPr>
        <w:pStyle w:val="BodyText"/>
      </w:pPr>
      <w:hyperlink w:anchor="Bicycle-Parking"/>
    </w:p>
    <w:p>
      <w:pPr>
        <w:pStyle w:val="BodyText"/>
      </w:pPr>
      <w:r>
        <w:t xml:space="preserve">Bicycle Parking</w:t>
      </w:r>
    </w:p>
    <w:bookmarkStart w:id="34" w:name="Bicycle-Parking"/>
    <w:p>
      <w:pPr>
        <w:pStyle w:val="BodyText"/>
      </w:pPr>
      <w:r>
        <w:t xml:space="preserve">To promote a car-lite society, BP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3" w:name="Bicycle-Parking1"/>
    <w:bookmarkEnd w:id="33"/>
    <w:bookmarkEnd w:id="34"/>
    <w:p>
      <w:r>
        <w:pict>
          <v:rect style="width:0;height:1.5pt" o:hralign="center" o:hrstd="t" o:hr="t"/>
        </w:pict>
      </w:r>
    </w:p>
    <w:p>
      <w:pPr>
        <w:pStyle w:val="FirstParagraph"/>
      </w:pPr>
      <w:r>
        <w:rPr>
          <w:i/>
          <w:iCs/>
        </w:rPr>
        <w:t xml:space="preserve">Last updated on 28 June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5" Target="https://ura.gov.sg/-/media/Corporate/Guidelines/Development-control/Industrial/Range_Based_Car_Parking_Standard.jpg?h=100%25&amp;w=100%25" TargetMode="Externa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2024-05-23T03:20:17Z</dcterms:created>
  <dcterms:modified xsi:type="dcterms:W3CDTF">2024-05-23T03:20:17Z</dcterms:modified>
</cp:coreProperties>
</file>

<file path=docProps/custom.xml><?xml version="1.0" encoding="utf-8"?>
<Properties xmlns="http://schemas.openxmlformats.org/officeDocument/2006/custom-properties" xmlns:vt="http://schemas.openxmlformats.org/officeDocument/2006/docPropsVTypes"/>
</file>