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basements"/>
    <w:p>
      <w:pPr>
        <w:pStyle w:val="Heading3"/>
      </w:pPr>
      <w:r>
        <w:t xml:space="preserve">Basements</w:t>
      </w:r>
    </w:p>
    <w:p>
      <w:pPr>
        <w:pStyle w:val="FirstParagraph"/>
      </w:pPr>
      <w:r>
        <w:t xml:space="preserve">A basement storey refers to a storey of a building which may be partially or wholly below the existing ground level. In so far as storey height control is concerned, basement storeys that protrude more than 1.0m above ground level on any side shall be counted as a storey.</w:t>
      </w:r>
      <w:r>
        <w:t xml:space="preserve"> </w:t>
      </w:r>
    </w:p>
    <w:p>
      <w:pPr>
        <w:pStyle w:val="BodyText"/>
      </w:pPr>
      <w:hyperlink r:id="rId20">
        <w:r>
          <w:rPr>
            <w:rStyle w:val="Hyperlink"/>
          </w:rPr>
          <w:t xml:space="preserve">https://www.ura.gov.sg/-/media/Corporate/Guidelines/Development-control/Hotel/H11_Basement.jpg?h=100%25&amp;w=100%25</w:t>
        </w:r>
      </w:hyperlink>
    </w:p>
    <w:p>
      <w:pPr>
        <w:pStyle w:val="BodyText"/>
      </w:pPr>
      <w:r>
        <w:rPr>
          <w:i/>
          <w:iCs/>
        </w:rPr>
        <w:t xml:space="preserve">Basement Setback and Vertical Openings</w:t>
      </w:r>
    </w:p>
    <w:p>
      <w:pPr>
        <w:pStyle w:val="BodyText"/>
      </w:pPr>
      <w:r>
        <w:t xml:space="preserve">The physical limit for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Sunken basement</w:t>
            </w:r>
          </w:p>
        </w:tc>
        <w:tc>
          <w:tcPr/>
          <w:p>
            <w:pPr>
              <w:pStyle w:val="Compact"/>
              <w:jc w:val="left"/>
            </w:pPr>
            <w:r>
              <w:t xml:space="preserve">Up to the road reserve</w:t>
            </w:r>
            <w:r>
              <w:rPr>
                <w:vertAlign w:val="superscript"/>
              </w:rPr>
              <w:t xml:space="preserve">1</w:t>
            </w:r>
            <w:r>
              <w:t xml:space="preserve"> </w:t>
            </w:r>
            <w:r>
              <w:t xml:space="preserve">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1.0m, basements may be exposed up to 2.0 m from the point where the platform level meets the basement wall (ie the earth around the basement wall may be cut to slope down to achieve the 2.0m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is not allowed.</w:t>
      </w:r>
    </w:p>
    <w:p>
      <w:pPr>
        <w:pStyle w:val="Compact"/>
        <w:numPr>
          <w:ilvl w:val="0"/>
          <w:numId w:val="1002"/>
        </w:numPr>
      </w:pPr>
      <w:r>
        <w:t xml:space="preserve">The extent of the vertical openings or the types of cover over the vertical openings shall be subject to the requirements of the other technical departments.</w:t>
      </w:r>
    </w:p>
    <w:p>
      <w:pPr>
        <w:pStyle w:val="Compact"/>
        <w:numPr>
          <w:ilvl w:val="0"/>
          <w:numId w:val="1002"/>
        </w:numPr>
      </w:pPr>
      <w:r>
        <w:t xml:space="preserve">Horizontal openings to the basement are allowed within the setback distance outside the green buffer and planting strip, subject to provision of effective screening to hide the view to the basement.</w:t>
      </w:r>
    </w:p>
    <w:p>
      <w:pPr>
        <w:pStyle w:val="FirstParagraph"/>
      </w:pPr>
      <w:hyperlink r:id="rId21">
        <w:r>
          <w:rPr>
            <w:rStyle w:val="Hyperlink"/>
          </w:rPr>
          <w:t xml:space="preserve">https://www.ura.gov.sg/-/media/Corporate/Guidelines/Development-control/Hotel/H09_Basement_Horizontal_Openings.jpg?h=100%25&amp;w=100%25</w:t>
        </w:r>
      </w:hyperlink>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 25 February 2021</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ura.gov.sg/-/media/Corporate/Guidelines/Development-control/Hotel/H09_Basement_Horizontal_Openings.jpg?h=100%25&amp;w=100%25" TargetMode="External" /><Relationship Type="http://schemas.openxmlformats.org/officeDocument/2006/relationships/hyperlink" Id="rId20" Target="https://www.ura.gov.sg/-/media/Corporate/Guidelines/Development-control/Hotel/H11_Basemen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https://www.ura.gov.sg/-/media/Corporate/Guidelines/Development-control/Hotel/H09_Basement_Horizontal_Openings.jpg?h=100%25&amp;w=100%25" TargetMode="External" /><Relationship Type="http://schemas.openxmlformats.org/officeDocument/2006/relationships/hyperlink" Id="rId20" Target="https://www.ura.gov.sg/-/media/Corporate/Guidelines/Development-control/Hotel/H11_Basemen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2024-05-23T09:31:36Z</dcterms:created>
  <dcterms:modified xsi:type="dcterms:W3CDTF">2024-05-23T09:31:36Z</dcterms:modified>
</cp:coreProperties>
</file>

<file path=docProps/custom.xml><?xml version="1.0" encoding="utf-8"?>
<Properties xmlns="http://schemas.openxmlformats.org/officeDocument/2006/custom-properties" xmlns:vt="http://schemas.openxmlformats.org/officeDocument/2006/docPropsVTypes"/>
</file>