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bookmarkEnd w:id="23"/>
    <w:bookmarkStart w:id="25" w:name="column_0_right_1_txtTitle"/>
    <w:bookmarkStart w:id="24" w:name="section"/>
    <w:p>
      <w:pPr>
        <w:pStyle w:val="Heading3"/>
      </w:pPr>
    </w:p>
    <w:bookmarkEnd w:id="24"/>
    <w:bookmarkEnd w:id="25"/>
    <w:p>
      <w:pPr>
        <w:pStyle w:val="FirstParagraph"/>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C&amp;CI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Storey-Height"/>
    </w:p>
    <w:p>
      <w:pPr>
        <w:pStyle w:val="BodyText"/>
      </w:pPr>
      <w:r>
        <w:t xml:space="preserve">Storey Height</w:t>
      </w:r>
    </w:p>
    <w:bookmarkStart w:id="29" w:name="Storey-Height"/>
    <w:p>
      <w:pPr>
        <w:pStyle w:val="BodyText"/>
      </w:pPr>
      <w:r>
        <w:t xml:space="preserve">The allowable number of storeys for the C&amp;CI development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context of the surrounding area.</w:t>
      </w:r>
    </w:p>
    <w:p>
      <w:pPr>
        <w:pStyle w:val="BodyText"/>
      </w:pPr>
      <w:r>
        <w:t xml:space="preserve">Basement storeys that protrude more than 1.0m above ground level on any side shall be counted as a storey.</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c>
          <w:tcPr/>
          <w:p>
            <w:pPr>
              <w:pStyle w:val="Compact"/>
              <w:jc w:val="left"/>
            </w:pPr>
            <w:r>
              <w:t xml:space="preserve">Subject to evaluation</w:t>
            </w:r>
          </w:p>
        </w:tc>
      </w:tr>
    </w:tbl>
    <w:p>
      <w:pPr>
        <w:pStyle w:val="BodyText"/>
      </w:pPr>
      <w:r>
        <w:br/>
      </w:r>
    </w:p>
    <w:bookmarkStart w:id="28" w:name="Storey-Height1"/>
    <w:bookmarkEnd w:id="28"/>
    <w:bookmarkEnd w:id="29"/>
    <w:p>
      <w:pPr>
        <w:pStyle w:val="BodyText"/>
      </w:pPr>
      <w:hyperlink w:anchor="Floor-to-Floor-Height"/>
    </w:p>
    <w:p>
      <w:pPr>
        <w:pStyle w:val="BodyText"/>
      </w:pPr>
      <w:r>
        <w:t xml:space="preserve">Floor-to-Floor Height</w:t>
      </w:r>
    </w:p>
    <w:bookmarkStart w:id="31" w:name="Floor-to-Floor-Height"/>
    <w:p>
      <w:pPr>
        <w:pStyle w:val="BodyText"/>
      </w:pPr>
      <w:r>
        <w:t xml:space="preserve">The maximum floor-to-floor height of C&amp;CI developments is 5.0m.</w:t>
      </w:r>
    </w:p>
    <w:bookmarkStart w:id="30" w:name="Floor-to-Floor-Height1"/>
    <w:bookmarkEnd w:id="30"/>
    <w:bookmarkEnd w:id="31"/>
    <w:p>
      <w:pPr>
        <w:pStyle w:val="BodyText"/>
      </w:pPr>
      <w:hyperlink w:anchor="Sky"/>
    </w:p>
    <w:p>
      <w:pPr>
        <w:pStyle w:val="BodyText"/>
      </w:pPr>
      <w:r>
        <w:t xml:space="preserve">Additional Height for Predominant Sky Terrace Storey</w:t>
      </w:r>
    </w:p>
    <w:bookmarkStart w:id="36" w:name="Sky"/>
    <w:p>
      <w:pPr>
        <w:pStyle w:val="BodyText"/>
      </w:pPr>
      <w:r>
        <w:drawing>
          <wp:inline>
            <wp:extent cx="9525" cy="9525"/>
            <wp:effectExtent b="0" l="0" r="0" t="0"/>
            <wp:docPr descr="Additional height for sky terrace floor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C&amp;CI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4">
        <w:r>
          <w:rPr>
            <w:rStyle w:val="Hyperlink"/>
          </w:rPr>
          <w:t xml:space="preserve">urban design areas</w:t>
        </w:r>
      </w:hyperlink>
      <w:r>
        <w:t xml:space="preserve"> with site-specific height considerations.</w:t>
      </w:r>
    </w:p>
    <w:bookmarkStart w:id="35" w:name="Sky1"/>
    <w:bookmarkEnd w:id="35"/>
    <w:bookmarkEnd w:id="36"/>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4" Target="/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4" Target="/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