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height"/>
    <w:p>
      <w:pPr>
        <w:pStyle w:val="Heading3"/>
      </w:pPr>
      <w:r>
        <w:t xml:space="preserve">Building Height</w:t>
      </w:r>
    </w:p>
    <w:p>
      <w:pPr>
        <w:pStyle w:val="FirstParagraph"/>
      </w:pPr>
      <w:hyperlink r:id="rId20">
        <w:r>
          <w:rPr>
            <w:rStyle w:val="Hyperlink"/>
          </w:rPr>
          <w:t xml:space="preserve">https://www.ura.gov.sg/-/media/Corporate/Guidelines/Development-control/Others/CCI01_Building_Height.jpg?h=100%25&amp;w=100%25</w:t>
        </w:r>
      </w:hyperlink>
    </w:p>
    <w:p>
      <w:pPr>
        <w:pStyle w:val="BodyText"/>
      </w:pPr>
      <w:r>
        <w:rPr>
          <w:i/>
          <w:iCs/>
        </w:rPr>
        <w:t xml:space="preserve">Building Height</w:t>
      </w:r>
    </w:p>
    <w:bookmarkEnd w:id="21"/>
    <w:bookmarkStart w:id="23" w:name="column_0_right_1_txtTitle"/>
    <w:bookmarkStart w:id="22" w:name="section"/>
    <w:p>
      <w:pPr>
        <w:pStyle w:val="Heading3"/>
      </w:pPr>
    </w:p>
    <w:bookmarkEnd w:id="22"/>
    <w:bookmarkEnd w:id="23"/>
    <w:p>
      <w:pPr>
        <w:pStyle w:val="FirstParagraph"/>
      </w:pPr>
      <w:hyperlink w:anchor="Overall-Building-Height"/>
    </w:p>
    <w:p>
      <w:pPr>
        <w:pStyle w:val="BodyText"/>
      </w:pPr>
      <w:r>
        <w:t xml:space="preserve">Overall Building Height</w:t>
      </w:r>
    </w:p>
    <w:bookmarkStart w:id="25" w:name="Overall-Building-Height"/>
    <w:p>
      <w:pPr>
        <w:pStyle w:val="BodyText"/>
      </w:pPr>
      <w:r>
        <w:t xml:space="preserve">Unless otherwise stated, the overall building height</w:t>
      </w:r>
      <w:r>
        <w:rPr>
          <w:vertAlign w:val="superscript"/>
        </w:rPr>
        <w:t xml:space="preserve">1</w:t>
      </w:r>
      <w:r>
        <w:t xml:space="preserve"> </w:t>
      </w:r>
      <w:r>
        <w:t xml:space="preserve">of C&amp;CI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24" w:name="Overall-Building-Height1"/>
    <w:bookmarkEnd w:id="24"/>
    <w:bookmarkEnd w:id="25"/>
    <w:p>
      <w:pPr>
        <w:pStyle w:val="BodyText"/>
      </w:pPr>
      <w:hyperlink w:anchor="Storey-Height"/>
    </w:p>
    <w:p>
      <w:pPr>
        <w:pStyle w:val="BodyText"/>
      </w:pPr>
      <w:r>
        <w:t xml:space="preserve">Storey Height</w:t>
      </w:r>
    </w:p>
    <w:bookmarkStart w:id="27" w:name="Storey-Height"/>
    <w:p>
      <w:pPr>
        <w:pStyle w:val="BodyText"/>
      </w:pPr>
      <w:r>
        <w:t xml:space="preserve">The allowable number of storeys for the C&amp;CI development shall take into account the character of the surrounding area. As a guide, depending on the allowable GPR, the corresponding number of storeys are shown in the table below. The actual number of storeys allowed may vary, or be higher, depending on the site topography, site condition and context of the surrounding area.</w:t>
      </w:r>
    </w:p>
    <w:p>
      <w:pPr>
        <w:pStyle w:val="BodyText"/>
      </w:pPr>
      <w:r>
        <w:t xml:space="preserve">Basement storeys that protrude more than 1.0m above ground level on any side shall be counted as a storey.</w:t>
      </w:r>
    </w:p>
    <w:p>
      <w:pPr>
        <w:pStyle w:val="BodyText"/>
      </w:pPr>
      <w:r>
        <w:rPr>
          <w:b/>
          <w:bCs/>
        </w:rPr>
        <w:t xml:space="preserve">Allowable Storey Height</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left"/>
            </w:pPr>
            <w:r>
              <w:rPr>
                <w:b/>
                <w:bCs/>
              </w:rPr>
              <w:t xml:space="preserve">Gross Plot Ratio Control</w:t>
            </w:r>
          </w:p>
        </w:tc>
        <w:tc>
          <w:tcPr/>
          <w:p>
            <w:pPr>
              <w:pStyle w:val="Compact"/>
              <w:jc w:val="left"/>
            </w:pPr>
            <w:r>
              <w:rPr>
                <w:b/>
                <w:bCs/>
              </w:rPr>
              <w:t xml:space="preserve">Guide for Storey Height</w:t>
            </w:r>
          </w:p>
        </w:tc>
      </w:tr>
      <w:tr>
        <w:tc>
          <w:tcPr/>
          <w:p>
            <w:pPr>
              <w:pStyle w:val="Compact"/>
              <w:jc w:val="left"/>
            </w:pPr>
            <w:r>
              <w:t xml:space="preserve">Within landed and low-density housing areas with GPR less than or equal to 1.4</w:t>
            </w:r>
          </w:p>
        </w:tc>
        <w:tc>
          <w:tcPr>
            <w:vMerge w:val="restart"/>
          </w:tcPr>
          <w:p>
            <w:pPr>
              <w:pStyle w:val="Compact"/>
              <w:jc w:val="left"/>
            </w:pPr>
            <w:r>
              <w:t xml:space="preserve">Up to 1.0</w:t>
            </w:r>
            <w:r>
              <w:br/>
            </w:r>
          </w:p>
        </w:tc>
        <w:tc>
          <w:tcPr/>
          <w:p>
            <w:pPr>
              <w:pStyle w:val="Compact"/>
              <w:jc w:val="left"/>
            </w:pPr>
            <w:r>
              <w:t xml:space="preserve">Up to 2 or 3 storeys based on the storey-height control of the landed housing estate</w:t>
            </w:r>
          </w:p>
        </w:tc>
      </w:tr>
      <w:tr>
        <w:tc>
          <w:tcPr/>
          <w:p>
            <w:pPr>
              <w:pStyle w:val="Compact"/>
              <w:jc w:val="left"/>
            </w:pPr>
            <w:r>
              <w:t xml:space="preserve">At the fringe of landed and low-density housing areas with GPR less than or equal to 1.4</w:t>
            </w:r>
          </w:p>
        </w:tc>
        <w:tc>
          <w:tcPr>
            <w:gridSpan w:val="1"/>
            <w:vMerge w:val="continue"/>
          </w:tcPr>
          <w:p>
            <w:pPr/>
          </w:p>
        </w:tc>
        <w:tc>
          <w:tcPr/>
          <w:p>
            <w:pPr>
              <w:pStyle w:val="Compact"/>
              <w:jc w:val="left"/>
            </w:pPr>
            <w:r>
              <w:t xml:space="preserve">Up to 3 storeys</w:t>
            </w:r>
          </w:p>
        </w:tc>
      </w:tr>
      <w:tr>
        <w:tc>
          <w:tcPr/>
          <w:p>
            <w:pPr>
              <w:pStyle w:val="Compact"/>
              <w:jc w:val="left"/>
            </w:pPr>
            <w:r>
              <w:t xml:space="preserve">Within HDB estates and in areas with GPR more than 1.4</w:t>
            </w:r>
          </w:p>
        </w:tc>
        <w:tc>
          <w:tcPr>
            <w:vMerge w:val="restart"/>
          </w:tcPr>
          <w:p>
            <w:pPr>
              <w:pStyle w:val="Compact"/>
              <w:jc w:val="left"/>
            </w:pPr>
            <w:r>
              <w:t xml:space="preserve">Up to 1.4</w:t>
            </w:r>
          </w:p>
        </w:tc>
        <w:tc>
          <w:tcPr>
            <w:vMerge w:val="restart"/>
          </w:tcPr>
          <w:p>
            <w:pPr>
              <w:pStyle w:val="Compact"/>
              <w:jc w:val="left"/>
            </w:pPr>
            <w:r>
              <w:t xml:space="preserve">Up to 4 storeys</w:t>
            </w:r>
          </w:p>
        </w:tc>
      </w:tr>
      <w:tr>
        <w:tc>
          <w:tcPr/>
          <w:p>
            <w:pPr>
              <w:pStyle w:val="Compact"/>
              <w:jc w:val="left"/>
            </w:pPr>
            <w:r>
              <w:t xml:space="preserve">Within or at the fringe of industrial estates</w:t>
            </w:r>
          </w:p>
        </w:tc>
        <w:tc>
          <w:tcPr>
            <w:gridSpan w:val="1"/>
            <w:vMerge w:val="continue"/>
          </w:tcPr>
          <w:p>
            <w:pPr/>
          </w:p>
        </w:tc>
        <w:tc>
          <w:tcPr>
            <w:gridSpan w:val="1"/>
            <w:vMerge w:val="continue"/>
          </w:tcPr>
          <w:p>
            <w:pPr/>
          </w:p>
        </w:tc>
      </w:tr>
      <w:tr>
        <w:tc>
          <w:tcPr/>
          <w:p>
            <w:pPr>
              <w:pStyle w:val="Compact"/>
              <w:jc w:val="left"/>
            </w:pPr>
            <w:r>
              <w:t xml:space="preserve">Within Central Area and within other commercial centres, including party-wall developments such as in Geylang area</w:t>
            </w:r>
          </w:p>
        </w:tc>
        <w:tc>
          <w:tcPr/>
          <w:p>
            <w:pPr>
              <w:pStyle w:val="Compact"/>
              <w:jc w:val="left"/>
            </w:pPr>
            <w:r>
              <w:t xml:space="preserve">Subject to evaluation and localised urban design guidelines.</w:t>
            </w:r>
          </w:p>
        </w:tc>
        <w:tc>
          <w:tcPr/>
          <w:p>
            <w:pPr>
              <w:pStyle w:val="Compact"/>
              <w:jc w:val="left"/>
            </w:pPr>
            <w:r>
              <w:t xml:space="preserve">Subject to evaluation</w:t>
            </w:r>
          </w:p>
        </w:tc>
      </w:tr>
    </w:tbl>
    <w:p>
      <w:pPr>
        <w:pStyle w:val="BodyText"/>
      </w:pPr>
      <w:r>
        <w:br/>
      </w:r>
    </w:p>
    <w:bookmarkStart w:id="26" w:name="Storey-Height1"/>
    <w:bookmarkEnd w:id="26"/>
    <w:bookmarkEnd w:id="27"/>
    <w:p>
      <w:pPr>
        <w:pStyle w:val="BodyText"/>
      </w:pPr>
      <w:hyperlink w:anchor="Floor-to-Floor-Height"/>
    </w:p>
    <w:p>
      <w:pPr>
        <w:pStyle w:val="BodyText"/>
      </w:pPr>
      <w:r>
        <w:t xml:space="preserve">Floor-to-Floor Height</w:t>
      </w:r>
    </w:p>
    <w:bookmarkStart w:id="29" w:name="Floor-to-Floor-Height"/>
    <w:p>
      <w:pPr>
        <w:pStyle w:val="BodyText"/>
      </w:pPr>
      <w:r>
        <w:t xml:space="preserve">The maximum floor-to-floor height of C&amp;CI developments is 5.0m.</w:t>
      </w:r>
    </w:p>
    <w:bookmarkStart w:id="28" w:name="Floor-to-Floor-Height1"/>
    <w:bookmarkEnd w:id="28"/>
    <w:bookmarkEnd w:id="29"/>
    <w:p>
      <w:pPr>
        <w:pStyle w:val="BodyText"/>
      </w:pPr>
      <w:hyperlink w:anchor="Sky"/>
    </w:p>
    <w:p>
      <w:pPr>
        <w:pStyle w:val="BodyText"/>
      </w:pPr>
      <w:r>
        <w:t xml:space="preserve">Additional Height for Predominant Sky Terrace Storey</w:t>
      </w:r>
    </w:p>
    <w:bookmarkStart w:id="33" w:name="Sky"/>
    <w:p>
      <w:pPr>
        <w:pStyle w:val="BodyText"/>
      </w:pPr>
      <w:hyperlink r:id="rId30">
        <w:r>
          <w:rPr>
            <w:rStyle w:val="Hyperlink"/>
          </w:rPr>
          <w:t xml:space="preserve">https://www.ura.gov.sg/-/media/Corporate/Guidelines/Development-control/Commercial/C04_Additional_Height_for_Sky_Terrace_Floors.jpg?h=100%25&amp;w=100%25</w:t>
        </w:r>
      </w:hyperlink>
    </w:p>
    <w:p>
      <w:pPr>
        <w:pStyle w:val="BodyText"/>
      </w:pPr>
      <w:r>
        <w:rPr>
          <w:i/>
          <w:iCs/>
        </w:rPr>
        <w:t xml:space="preserve">Additional Height for Predominant Sky Terrace Storeys</w:t>
      </w:r>
    </w:p>
    <w:p>
      <w:pPr>
        <w:pStyle w:val="BodyText"/>
      </w:pPr>
      <w:r>
        <w:t xml:space="preserve">Predominant Sky Terrace Storeys (PSTS) are floors where the sky terrace areas within the 45-degree line occupy at least 60% of the floor plate. </w:t>
      </w:r>
    </w:p>
    <w:p>
      <w:pPr>
        <w:pStyle w:val="BodyText"/>
      </w:pPr>
      <w:r>
        <w:t xml:space="preserve">If the proposed number of storeys in the development is more than 7 storeys, C&amp;CI developments with PSTS may be allowed additional building height depending on the number of storeys proposed as shown in the table below:</w:t>
      </w:r>
    </w:p>
    <w:p>
      <w:pPr>
        <w:pStyle w:val="BodyText"/>
      </w:pPr>
      <w:r>
        <w:rPr>
          <w:b/>
          <w:bCs/>
        </w:rPr>
        <w:t xml:space="preserve">Additional Building Height based on Proposed Storey Height</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Proposed Storey Height of Development</w:t>
            </w:r>
          </w:p>
        </w:tc>
        <w:tc>
          <w:tcPr/>
          <w:p>
            <w:pPr>
              <w:pStyle w:val="Compact"/>
              <w:jc w:val="center"/>
            </w:pPr>
            <w:r>
              <w:rPr>
                <w:b/>
                <w:bCs/>
              </w:rPr>
              <w:t xml:space="preserve">Additional Building Height Allowed</w:t>
            </w:r>
          </w:p>
        </w:tc>
      </w:tr>
      <w:tr>
        <w:tc>
          <w:tcPr/>
          <w:p>
            <w:pPr>
              <w:pStyle w:val="Compact"/>
              <w:jc w:val="center"/>
            </w:pPr>
            <w:r>
              <w:t xml:space="preserve">7 - 20</w:t>
            </w:r>
          </w:p>
        </w:tc>
        <w:tc>
          <w:tcPr/>
          <w:p>
            <w:pPr>
              <w:pStyle w:val="Compact"/>
              <w:jc w:val="center"/>
            </w:pPr>
            <w:r>
              <w:t xml:space="preserve">10.0m</w:t>
            </w:r>
          </w:p>
        </w:tc>
      </w:tr>
      <w:tr>
        <w:tc>
          <w:tcPr/>
          <w:p>
            <w:pPr>
              <w:pStyle w:val="Compact"/>
              <w:jc w:val="center"/>
            </w:pPr>
            <w:r>
              <w:t xml:space="preserve">21 - 30</w:t>
            </w:r>
          </w:p>
        </w:tc>
        <w:tc>
          <w:tcPr/>
          <w:p>
            <w:pPr>
              <w:pStyle w:val="Compact"/>
              <w:jc w:val="center"/>
            </w:pPr>
            <w:r>
              <w:t xml:space="preserve">15.0m</w:t>
            </w:r>
          </w:p>
        </w:tc>
      </w:tr>
      <w:tr>
        <w:tc>
          <w:tcPr/>
          <w:p>
            <w:pPr>
              <w:pStyle w:val="Compact"/>
              <w:jc w:val="center"/>
            </w:pPr>
            <w:r>
              <w:t xml:space="preserve">31 - 40</w:t>
            </w:r>
          </w:p>
        </w:tc>
        <w:tc>
          <w:tcPr/>
          <w:p>
            <w:pPr>
              <w:pStyle w:val="Compact"/>
              <w:jc w:val="center"/>
            </w:pPr>
            <w:r>
              <w:t xml:space="preserve">20.0m</w:t>
            </w:r>
          </w:p>
        </w:tc>
      </w:tr>
      <w:tr>
        <w:tc>
          <w:tcPr/>
          <w:p>
            <w:pPr>
              <w:pStyle w:val="Compact"/>
              <w:jc w:val="center"/>
            </w:pPr>
            <w:r>
              <w:t xml:space="preserve">41 - 50</w:t>
            </w:r>
          </w:p>
        </w:tc>
        <w:tc>
          <w:tcPr/>
          <w:p>
            <w:pPr>
              <w:pStyle w:val="Compact"/>
              <w:jc w:val="center"/>
            </w:pPr>
            <w:r>
              <w:t xml:space="preserve">25.0m</w:t>
            </w:r>
          </w:p>
        </w:tc>
      </w:tr>
      <w:tr>
        <w:tc>
          <w:tcPr/>
          <w:p>
            <w:pPr>
              <w:pStyle w:val="Compact"/>
              <w:jc w:val="center"/>
            </w:pPr>
            <w:r>
              <w:t xml:space="preserve">More than 50</w:t>
            </w:r>
          </w:p>
        </w:tc>
        <w:tc>
          <w:tcPr/>
          <w:p>
            <w:pPr>
              <w:pStyle w:val="Compact"/>
              <w:jc w:val="center"/>
            </w:pPr>
            <w:r>
              <w:t xml:space="preserve">30.0m</w:t>
            </w:r>
          </w:p>
        </w:tc>
      </w:tr>
    </w:tbl>
    <w:p>
      <w:pPr>
        <w:pStyle w:val="BodyText"/>
      </w:pPr>
      <w:r>
        <w:br/>
      </w:r>
    </w:p>
    <w:p>
      <w:pPr>
        <w:pStyle w:val="BodyText"/>
      </w:pPr>
      <w:r>
        <w:t xml:space="preserve">The additional building height may only be distributed to the sky terrace floors within the development. Spaces for M&amp;E services located directly beneath the sky terrace floor may be included in the additional height.</w:t>
      </w:r>
    </w:p>
    <w:p>
      <w:pPr>
        <w:pStyle w:val="BodyText"/>
      </w:pPr>
      <w:r>
        <w:t xml:space="preserve">The overall building height is subject to technical height controls.</w:t>
      </w:r>
    </w:p>
    <w:p>
      <w:pPr>
        <w:pStyle w:val="BodyText"/>
      </w:pPr>
      <w:r>
        <w:t xml:space="preserve">The additional building height shall not apply to:</w:t>
      </w:r>
    </w:p>
    <w:p>
      <w:pPr>
        <w:pStyle w:val="Compact"/>
        <w:numPr>
          <w:ilvl w:val="0"/>
          <w:numId w:val="1001"/>
        </w:numPr>
      </w:pPr>
      <w:r>
        <w:t xml:space="preserve">Developments within Conservation Areas and sites with National Monuments;</w:t>
      </w:r>
    </w:p>
    <w:p>
      <w:pPr>
        <w:pStyle w:val="Compact"/>
        <w:numPr>
          <w:ilvl w:val="0"/>
          <w:numId w:val="1001"/>
        </w:numPr>
      </w:pPr>
      <w:r>
        <w:t xml:space="preserve">Developments with height control of 6 storeys or less; or</w:t>
      </w:r>
    </w:p>
    <w:p>
      <w:pPr>
        <w:pStyle w:val="Compact"/>
        <w:numPr>
          <w:ilvl w:val="0"/>
          <w:numId w:val="1001"/>
        </w:numPr>
      </w:pPr>
      <w:r>
        <w:t xml:space="preserve">Developments with special controls e.g. areas with street block plans.</w:t>
      </w:r>
    </w:p>
    <w:p>
      <w:pPr>
        <w:pStyle w:val="FirstParagraph"/>
      </w:pPr>
      <w:r>
        <w:t xml:space="preserve">In addition to (a) – (c), any additional building height will be subject to evaluation for developments adjacent to conserved buildings or in</w:t>
      </w:r>
      <w:r>
        <w:t xml:space="preserve"> </w:t>
      </w:r>
      <w:hyperlink r:id="rId31">
        <w:r>
          <w:rPr>
            <w:rStyle w:val="Hyperlink"/>
          </w:rPr>
          <w:t xml:space="preserve">urban design areas</w:t>
        </w:r>
      </w:hyperlink>
      <w:r>
        <w:t xml:space="preserve"> with site-specific height considerations.</w:t>
      </w:r>
    </w:p>
    <w:bookmarkStart w:id="32" w:name="Sky1"/>
    <w:bookmarkEnd w:id="32"/>
    <w:bookmarkEnd w:id="33"/>
    <w:p>
      <w:r>
        <w:pict>
          <v:rect style="width:0;height:1.5pt" o:hralign="center" o:hrstd="t" o:hr="t"/>
        </w:pict>
      </w:r>
    </w:p>
    <w:p>
      <w:pPr>
        <w:pStyle w:val="FirstParagraph"/>
      </w:pPr>
      <w:r>
        <w:rPr>
          <w:i/>
          <w:iCs/>
        </w:rPr>
        <w:t xml:space="preserve">Last updated on 15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www.ura.gov.sg/-/media/Corporate/Guidelines/Development-control/Commercial/C04_Additional_Height_for_Sky_Terrace_Floors.jpg?h=100%25&amp;w=100%25" TargetMode="External" /><Relationship Type="http://schemas.openxmlformats.org/officeDocument/2006/relationships/hyperlink" Id="rId20" Target="https://www.ura.gov.sg/-/media/Corporate/Guidelines/Development-control/Others/CCI01_Building_Height.jpg?h=100%25&amp;w=100%25" TargetMode="External" /><Relationship Type="http://schemas.openxmlformats.org/officeDocument/2006/relationships/hyperlink" Id="rId31" Target="https://www.ura.gov.sg/Corporate/Guidelines/Urban-Design" TargetMode="External" /></Relationships>
</file>

<file path=word/_rels/footnotes.xml.rels><?xml version="1.0" encoding="UTF-8"?><Relationships xmlns="http://schemas.openxmlformats.org/package/2006/relationships"><Relationship Type="http://schemas.openxmlformats.org/officeDocument/2006/relationships/hyperlink" Id="rId30" Target="https://www.ura.gov.sg/-/media/Corporate/Guidelines/Development-control/Commercial/C04_Additional_Height_for_Sky_Terrace_Floors.jpg?h=100%25&amp;w=100%25" TargetMode="External" /><Relationship Type="http://schemas.openxmlformats.org/officeDocument/2006/relationships/hyperlink" Id="rId20" Target="https://www.ura.gov.sg/-/media/Corporate/Guidelines/Development-control/Others/CCI01_Building_Height.jpg?h=100%25&amp;w=100%25" TargetMode="External" /><Relationship Type="http://schemas.openxmlformats.org/officeDocument/2006/relationships/hyperlink" Id="rId31" Target="https://www.ura.gov.sg/Corporate/Guidelines/Urban-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2024-05-23T09:31:36Z</dcterms:created>
  <dcterms:modified xsi:type="dcterms:W3CDTF">2024-05-23T09:31:36Z</dcterms:modified>
</cp:coreProperties>
</file>

<file path=docProps/custom.xml><?xml version="1.0" encoding="utf-8"?>
<Properties xmlns="http://schemas.openxmlformats.org/officeDocument/2006/custom-properties" xmlns:vt="http://schemas.openxmlformats.org/officeDocument/2006/docPropsVTypes"/>
</file>