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introduction"/>
    <w:p>
      <w:pPr>
        <w:pStyle w:val="Heading3"/>
      </w:pPr>
      <w:r>
        <w:t xml:space="preserve">Introduction</w:t>
      </w:r>
    </w:p>
    <w:p>
      <w:pPr>
        <w:pStyle w:val="FirstParagraph"/>
      </w:pPr>
      <w:r>
        <w:t xml:space="preserve">Civic and Community Institutions comprise developments for civic, community, cultural, association/clan or other similar purposes on land zoned “Civic &amp; Community Institution” (C&amp;CI) and “Residential/Institution” in the Master Plan.</w:t>
      </w:r>
    </w:p>
    <w:p>
      <w:pPr>
        <w:pStyle w:val="BodyText"/>
      </w:pPr>
      <w:r>
        <w:t xml:space="preserve">Examples of C&amp;CI developments include: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Civic</w:t>
      </w:r>
      <w:r>
        <w:t xml:space="preserve">: Courts, Police Stations, Fire Stations, Special Government Buildings, Prisons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Community</w:t>
      </w:r>
      <w:r>
        <w:t xml:space="preserve">: Association/Clan Buildings, Community Clubs/Centres, Welfare Homes, Home for the Aged, Funeral Parlours, Childcare Centres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Cultural</w:t>
      </w:r>
      <w:r>
        <w:t xml:space="preserve">: Performing Arts Centre, Library, Museum, Arts/Science Centre, Art Gallery</w:t>
      </w:r>
    </w:p>
    <w:p>
      <w:pPr>
        <w:pStyle w:val="FirstParagraph"/>
      </w:pPr>
      <w:r>
        <w:t xml:space="preserve">A C&amp;CI building may be a stand-alone or party-wall building. The actual allowable building form will be assessed taking into account the site location, site context and detailed development guidelines in the prevailing street block plans, if any.</w:t>
      </w:r>
    </w:p>
    <w:p>
      <w:pPr>
        <w:pStyle w:val="BodyText"/>
      </w:pPr>
      <w:r>
        <w:t xml:space="preserve">Strata subdivision is not allowed for C&amp;CI developments.</w:t>
      </w:r>
    </w:p>
    <w:p>
      <w:pPr>
        <w:pStyle w:val="BodyText"/>
      </w:pPr>
      <w:r>
        <w:t xml:space="preserve">All C&amp;CI developments shall adhere to the planning parameters and guidelines except for Community Centres/Clubs and Homes for the Aged – see their guidelines under the tab</w:t>
      </w:r>
      <w:r>
        <w:t xml:space="preserve"> </w:t>
      </w:r>
      <w:hyperlink r:id="rId20">
        <w:r>
          <w:rPr>
            <w:rStyle w:val="Hyperlink"/>
          </w:rPr>
          <w:t xml:space="preserve">Home for the Aged</w:t>
        </w:r>
      </w:hyperlink>
      <w:r>
        <w:t xml:space="preserve"> </w:t>
      </w:r>
      <w:r>
        <w:t xml:space="preserve">and</w:t>
      </w:r>
      <w:r>
        <w:t xml:space="preserve"> </w:t>
      </w:r>
      <w:hyperlink r:id="rId21">
        <w:r>
          <w:rPr>
            <w:rStyle w:val="Hyperlink"/>
          </w:rPr>
          <w:t xml:space="preserve">Community Centres/Clubs</w:t>
        </w:r>
      </w:hyperlink>
      <w:r>
        <w:t xml:space="preserve"> </w:t>
      </w:r>
      <w:r>
        <w:t xml:space="preserve">respectively.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06 Nov 2020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/Corporate/Guidelines/Development-Control/Non-Residential/C-CI/CC" TargetMode="External" /><Relationship Type="http://schemas.openxmlformats.org/officeDocument/2006/relationships/hyperlink" Id="rId20" Target="/Corporate/Guidelines/Development-Control/Non-Residential/C-CI/Hom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/Corporate/Guidelines/Development-Control/Non-Residential/C-CI/CC" TargetMode="External" /><Relationship Type="http://schemas.openxmlformats.org/officeDocument/2006/relationships/hyperlink" Id="rId20" Target="/Corporate/Guidelines/Development-Control/Non-Residential/C-CI/Hom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2024-05-23T03:20:20Z</dcterms:created>
  <dcterms:modified xsi:type="dcterms:W3CDTF">2024-05-23T03:20:20Z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