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-quantum"/>
    <w:p>
      <w:pPr>
        <w:pStyle w:val="Heading3"/>
      </w:pPr>
      <w:r>
        <w:t xml:space="preserve">Use Quantum</w:t>
      </w:r>
    </w:p>
    <w:p>
      <w:pPr>
        <w:pStyle w:val="FirstParagraph"/>
      </w:pPr>
      <w:r>
        <w:t xml:space="preserve">C&amp;CI developments are expected to be used primarily for C&amp;CI activities. Ancillary offices may be allowed if they support the primary function of the C&amp;CI development or institution. Limited commercial uses such as a small shop may be allowed in C&amp;CI developments. The actual commercial quantum is subject to evaluation depending on the merits of the proposal, site location, site context and its impact on the surrounding area.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2024-05-23T09:31:42Z</dcterms:created>
  <dcterms:modified xsi:type="dcterms:W3CDTF">2024-05-23T09:31:42Z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