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https://ura.gov.sg/-/media/Corporate/Guidelines/Development-control/Commercial/C05_Road_Buffer_and_Setbacks.jpg?h=100%25&amp;w=100%25</w:t>
        </w:r>
      </w:hyperlink>
    </w:p>
    <w:p>
      <w:pPr>
        <w:pStyle w:val="BodyText"/>
      </w:pPr>
      <w:r>
        <w:rPr>
          <w:i/>
          <w:iCs/>
        </w:rPr>
        <w:t xml:space="preserve">Setback Requirements</w:t>
      </w:r>
    </w:p>
    <w:p>
      <w:pPr>
        <w:pStyle w:val="BodyText"/>
      </w:pPr>
      <w:r>
        <w:t xml:space="preserve">All buildings in commercial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commercial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6"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Commercial developments in the</w:t>
      </w:r>
      <w:r>
        <w:t xml:space="preserve"> </w:t>
      </w:r>
      <w:hyperlink r:id="rId24">
        <w:r>
          <w:rPr>
            <w:rStyle w:val="Hyperlink"/>
          </w:rPr>
          <w:t xml:space="preserve">Central Area</w:t>
        </w:r>
      </w:hyperlink>
      <w:r>
        <w:t xml:space="preserve"> </w:t>
      </w:r>
      <w:r>
        <w:t xml:space="preserve">are guided by the urban design requirements, which may allow the development to abut the road reserve at the front.</w:t>
      </w:r>
    </w:p>
    <w:p>
      <w:pPr>
        <w:pStyle w:val="BodyText"/>
      </w:pPr>
      <w:r>
        <w:t xml:space="preserve">Commercial developments outside the Central Area may abut the road reserve at the front, if there is site constraint or if there is an intention to retain the existing streetscape which is abutting the road reserve/road widening line.</w:t>
      </w:r>
    </w:p>
    <w:bookmarkStart w:id="25" w:name="Table-11"/>
    <w:bookmarkEnd w:id="25"/>
    <w:bookmarkEnd w:id="26"/>
    <w:p>
      <w:pPr>
        <w:pStyle w:val="BodyText"/>
      </w:pPr>
      <w:hyperlink w:anchor="Table-2"/>
    </w:p>
    <w:p>
      <w:pPr>
        <w:pStyle w:val="BodyText"/>
      </w:pPr>
      <w:r>
        <w:t xml:space="preserve">Common Boundary Setback &amp; Planting Strip</w:t>
      </w:r>
    </w:p>
    <w:bookmarkStart w:id="28"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Setback Distance</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7" w:name="Table-21"/>
    <w:bookmarkEnd w:id="27"/>
    <w:bookmarkEnd w:id="28"/>
    <w:p>
      <w:pPr>
        <w:pStyle w:val="BodyText"/>
      </w:pPr>
      <w:hyperlink w:anchor="Table-3"/>
    </w:p>
    <w:p>
      <w:pPr>
        <w:pStyle w:val="BodyText"/>
      </w:pPr>
      <w:r>
        <w:t xml:space="preserve">Building Setback for Ancillary Structures</w:t>
      </w:r>
    </w:p>
    <w:bookmarkStart w:id="32" w:name="Table-3"/>
    <w:p>
      <w:pPr>
        <w:pStyle w:val="BodyText"/>
      </w:pPr>
      <w:hyperlink r:id="rId29">
        <w:r>
          <w:rPr>
            <w:rStyle w:val="Hyperlink"/>
          </w:rPr>
          <w:t xml:space="preserve">https://ura.gov.sg/-/media/Corporate/Guidelines/Development-control/Commercial/C11_Setbacks_for_Ancillary_Structures_Substation.jpg?h=100%25&amp;w=100%25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1" w:name="Table-31"/>
    <w:bookmarkEnd w:id="31"/>
    <w:bookmarkEnd w:id="32"/>
    <w:p>
      <w:pPr>
        <w:pStyle w:val="BodyText"/>
      </w:pPr>
      <w:hyperlink w:anchor="Objective-Based-Guidelines"/>
    </w:p>
    <w:p>
      <w:pPr>
        <w:pStyle w:val="BodyText"/>
      </w:pPr>
      <w:r>
        <w:t xml:space="preserve">Building Setback for Multi-Storey Car Parks</w:t>
      </w:r>
    </w:p>
    <w:bookmarkStart w:id="35" w:name="Objective-Based-Guidelines"/>
    <w:p>
      <w:pPr>
        <w:pStyle w:val="BodyText"/>
      </w:pPr>
      <w:hyperlink r:id="rId33">
        <w:r>
          <w:rPr>
            <w:rStyle w:val="Hyperlink"/>
          </w:rPr>
          <w:t xml:space="preserve">https://ura.gov.sg/-/media/Corporate/Guidelines/Development-control/Commercial/C06_Setback_for_MSCP.jpg?h=100%25&amp;w=100%25</w:t>
        </w:r>
      </w:hyperlink>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commercial buildings</w:t>
            </w:r>
          </w:p>
        </w:tc>
        <w:tc>
          <w:tcPr/>
          <w:p>
            <w:pPr>
              <w:pStyle w:val="Compact"/>
              <w:jc w:val="center"/>
            </w:pPr>
            <w:r>
              <w:t xml:space="preserve">6m (minimum)</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c>
          <w:tcPr>
            <w:gridSpan w:val="1"/>
            <w:vMerge w:val="continue"/>
          </w:tcPr>
          <w:p>
            <w:pPr/>
          </w:p>
        </w:tc>
      </w:tr>
    </w:tbl>
    <w:bookmarkStart w:id="34" w:name="Objective-Based-Guidelines1"/>
    <w:bookmarkEnd w:id="34"/>
    <w:bookmarkEnd w:id="35"/>
    <w:p>
      <w:pPr>
        <w:pStyle w:val="BodyText"/>
      </w:pPr>
      <w:hyperlink w:anchor="Building-Appendages"/>
    </w:p>
    <w:p>
      <w:pPr>
        <w:pStyle w:val="BodyText"/>
      </w:pPr>
      <w:r>
        <w:t xml:space="preserve">Setback for Building Appendages</w:t>
      </w:r>
    </w:p>
    <w:bookmarkStart w:id="37"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6" w:name="Building-Appendages1"/>
    <w:bookmarkEnd w:id="36"/>
    <w:bookmarkEnd w:id="37"/>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0" Target="https://ura.gov.sg/-/media/Corporate/Guidelines/Development-control/Commercial/C05_Road_Buffer_and_Setbacks.jpg?h=100%25&amp;w=100%25" TargetMode="External" /><Relationship Type="http://schemas.openxmlformats.org/officeDocument/2006/relationships/hyperlink" Id="rId33" Target="https://ura.gov.sg/-/media/Corporate/Guidelines/Development-control/Commercial/C06_Setback_for_MSCP.jpg?h=100%25&amp;w=100%25" TargetMode="External" /><Relationship Type="http://schemas.openxmlformats.org/officeDocument/2006/relationships/hyperlink" Id="rId29" Target="https://ura.gov.sg/-/media/Corporate/Guidelines/Development-control/Commercial/C11_Setbacks_for_Ancillary_Structures_Substation.jpg?h=100%25&amp;w=100%25" TargetMode="External" /><Relationship Type="http://schemas.openxmlformats.org/officeDocument/2006/relationships/hyperlink" Id="rId3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0" Target="https://ura.gov.sg/-/media/Corporate/Guidelines/Development-control/Commercial/C05_Road_Buffer_and_Setbacks.jpg?h=100%25&amp;w=100%25" TargetMode="External" /><Relationship Type="http://schemas.openxmlformats.org/officeDocument/2006/relationships/hyperlink" Id="rId33" Target="https://ura.gov.sg/-/media/Corporate/Guidelines/Development-control/Commercial/C06_Setback_for_MSCP.jpg?h=100%25&amp;w=100%25" TargetMode="External" /><Relationship Type="http://schemas.openxmlformats.org/officeDocument/2006/relationships/hyperlink" Id="rId29" Target="https://ura.gov.sg/-/media/Corporate/Guidelines/Development-control/Commercial/C11_Setbacks_for_Ancillary_Structures_Substation.jpg?h=100%25&amp;w=100%25" TargetMode="External" /><Relationship Type="http://schemas.openxmlformats.org/officeDocument/2006/relationships/hyperlink" Id="rId3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2024-05-23T03:20:22Z</dcterms:created>
  <dcterms:modified xsi:type="dcterms:W3CDTF">2024-05-23T03:20:22Z</dcterms:modified>
</cp:coreProperties>
</file>

<file path=docProps/custom.xml><?xml version="1.0" encoding="utf-8"?>
<Properties xmlns="http://schemas.openxmlformats.org/officeDocument/2006/custom-properties" xmlns:vt="http://schemas.openxmlformats.org/officeDocument/2006/docPropsVTypes"/>
</file>