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of a commercial development is guided by the GPR specified in the Master Plan (MP). The MP plot ratio is the upper bound as it may not always be achievable because of site limitations like shape of the plot, site topography or ground conditions, building setbacks, building height or technical requirements of other authorities that may affect the site.</w:t>
      </w:r>
    </w:p>
    <w:p>
      <w:pPr>
        <w:pStyle w:val="BodyText"/>
      </w:pPr>
      <w:r>
        <w:t xml:space="preserve">If the GPR is not specified in the Master Plan, the development potential would be determined taking into consideration the location, site context, traffic and impact of the commercial development on the surroundings.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2024-05-23T09:31:51Z</dcterms:created>
  <dcterms:modified xsi:type="dcterms:W3CDTF">2024-05-23T09:31:51Z</dcterms:modified>
</cp:coreProperties>
</file>

<file path=docProps/custom.xml><?xml version="1.0" encoding="utf-8"?>
<Properties xmlns="http://schemas.openxmlformats.org/officeDocument/2006/custom-properties" xmlns:vt="http://schemas.openxmlformats.org/officeDocument/2006/docPropsVTypes"/>
</file>