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5"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4"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bookmarkEnd w:id="26"/>
    <w:p>
      <w:pPr>
        <w:pStyle w:val="BodyText"/>
      </w:pPr>
      <w:hyperlink w:anchor="Surplus"/>
    </w:p>
    <w:bookmarkStart w:id="27" w:name="X2bbb32bee3da7910b2f2c74520d95a9c7103e35"/>
    <w:p>
      <w:pPr>
        <w:pStyle w:val="Heading4"/>
      </w:pPr>
      <w:r>
        <w:t xml:space="preserve">Provision of Surplus Parking in New Developments</w:t>
      </w:r>
    </w:p>
    <w:bookmarkEnd w:id="27"/>
    <w:bookmarkStart w:id="28" w:name="Surplus"/>
    <w:p>
      <w:pPr>
        <w:pStyle w:val="FirstParagraph"/>
      </w:pPr>
      <w:r>
        <w:t xml:space="preserve">New commercial and mixed use</w:t>
      </w:r>
      <w:r>
        <w:rPr>
          <w:vertAlign w:val="superscript"/>
        </w:rPr>
        <w:t xml:space="preserve">2</w:t>
      </w:r>
      <w:r>
        <w:t xml:space="preserve"> </w:t>
      </w:r>
      <w:r>
        <w:t xml:space="preserve">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vertAlign w:val="superscript"/>
        </w:rPr>
        <w:t xml:space="preserve">2</w:t>
      </w:r>
      <w:r>
        <w:t xml:space="preserve"> </w:t>
      </w:r>
      <w:r>
        <w:t xml:space="preserve">Developments with commercial and/or hotel components that form more than 20% of the total GFA</w:t>
      </w:r>
    </w:p>
    <w:bookmarkEnd w:id="28"/>
    <w:p>
      <w:pPr>
        <w:pStyle w:val="BodyText"/>
      </w:pPr>
      <w:hyperlink w:anchor="Conversion"/>
    </w:p>
    <w:bookmarkStart w:id="29" w:name="Xdc06430b05fa1a5d9ba4286b2672a048f032f23"/>
    <w:p>
      <w:pPr>
        <w:pStyle w:val="Heading4"/>
      </w:pPr>
      <w:r>
        <w:t xml:space="preserve">Conversion of Surplus Car Parking in Existing Developments</w:t>
      </w:r>
    </w:p>
    <w:bookmarkEnd w:id="29"/>
    <w:bookmarkStart w:id="33" w:name="Conversion"/>
    <w:p>
      <w:pPr>
        <w:pStyle w:val="FirstParagraph"/>
      </w:pPr>
      <w:r>
        <w:t xml:space="preserve">Existing commercial developments</w:t>
      </w:r>
      <w:r>
        <w:t xml:space="preserve"> </w:t>
      </w:r>
      <w:r>
        <w:rPr>
          <w:b/>
          <w:bCs/>
        </w:rPr>
        <w:t xml:space="preserve">within the</w:t>
      </w:r>
      <w:r>
        <w:rPr>
          <w:b/>
          <w:bCs/>
        </w:rPr>
        <w:t xml:space="preserve"> </w:t>
      </w:r>
      <w:hyperlink r:id="rId30">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3</w:t>
      </w:r>
      <w:r>
        <w:t xml:space="preserve"> </w:t>
      </w:r>
      <w:r>
        <w:t xml:space="preserve">to other uses.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vertAlign w:val="superscript"/>
        </w:rPr>
        <w:t xml:space="preserve">3</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1">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2">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3"/>
    <w:bookmarkEnd w:id="34"/>
    <w:bookmarkEnd w:id="35"/>
    <w:p>
      <w:pPr>
        <w:pStyle w:val="BodyText"/>
      </w:pPr>
      <w:hyperlink w:anchor="Bicycle-Parking"/>
    </w:p>
    <w:p>
      <w:pPr>
        <w:pStyle w:val="BodyText"/>
      </w:pPr>
      <w:r>
        <w:t xml:space="preserve">Bicycle Parking</w:t>
      </w:r>
    </w:p>
    <w:bookmarkStart w:id="37" w:name="Bicycle-Parking"/>
    <w:p>
      <w:pPr>
        <w:pStyle w:val="BodyText"/>
      </w:pPr>
      <w:r>
        <w:t xml:space="preserve">To promote a car-lite society, commercial and mixed use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6" w:name="Bicycle-Parking1"/>
    <w:bookmarkEnd w:id="36"/>
    <w:bookmarkEnd w:id="37"/>
    <w:p>
      <w:pPr>
        <w:pStyle w:val="BodyText"/>
      </w:pPr>
      <w:hyperlink w:anchor="LoadingBay"/>
    </w:p>
    <w:p>
      <w:pPr>
        <w:pStyle w:val="BodyText"/>
      </w:pPr>
      <w:r>
        <w:t xml:space="preserve">Loading Bay</w:t>
      </w:r>
    </w:p>
    <w:bookmarkStart w:id="40" w:name="LoadingBay"/>
    <w:p>
      <w:pPr>
        <w:pStyle w:val="BodyText"/>
      </w:pPr>
      <w:r>
        <w:t xml:space="preserve">We advise all building owners, developers and QPs to refer to the</w:t>
      </w:r>
      <w:r>
        <w:t xml:space="preserve"> </w:t>
      </w:r>
      <w:hyperlink r:id="rId38">
        <w:r>
          <w:rPr>
            <w:rStyle w:val="Hyperlink"/>
          </w:rPr>
          <w:t xml:space="preserve">Loading Bay Design and Operations Best Practice Guide</w:t>
        </w:r>
      </w:hyperlink>
      <w:r>
        <w:t xml:space="preserve"> </w:t>
      </w:r>
      <w:r>
        <w:t xml:space="preserve"> </w:t>
      </w:r>
      <w:r>
        <w:t xml:space="preserve">when developing new commercial buildings or when redeveloping existing commercial buildings, especially for buildings with large retail components.</w:t>
      </w:r>
    </w:p>
    <w:p>
      <w:pPr>
        <w:pStyle w:val="BodyText"/>
      </w:pPr>
      <w:r>
        <w:t xml:space="preserve">This guide provides information, best practices and recommendations regarding the design and operation of the loading bays within commercial buildings, to achieve the following objectives:</w:t>
      </w:r>
    </w:p>
    <w:p>
      <w:pPr>
        <w:pStyle w:val="Compact"/>
        <w:numPr>
          <w:ilvl w:val="0"/>
          <w:numId w:val="1002"/>
        </w:numPr>
      </w:pPr>
      <w:r>
        <w:t xml:space="preserve">Efficient loading/unloading turnaround time</w:t>
      </w:r>
    </w:p>
    <w:p>
      <w:pPr>
        <w:pStyle w:val="Compact"/>
        <w:numPr>
          <w:ilvl w:val="0"/>
          <w:numId w:val="1002"/>
        </w:numPr>
      </w:pPr>
      <w:r>
        <w:t xml:space="preserve"> </w:t>
      </w:r>
      <w:r>
        <w:t xml:space="preserve">Improve traffic safety and goods flow</w:t>
      </w:r>
    </w:p>
    <w:p>
      <w:pPr>
        <w:pStyle w:val="Compact"/>
        <w:numPr>
          <w:ilvl w:val="0"/>
          <w:numId w:val="1002"/>
        </w:numPr>
      </w:pPr>
      <w:r>
        <w:t xml:space="preserve">Adapt to changing delivery trends</w:t>
      </w:r>
    </w:p>
    <w:p>
      <w:pPr>
        <w:pStyle w:val="FirstParagraph"/>
      </w:pPr>
      <w:r>
        <w:t xml:space="preserve">In cases where it is difficult to adhere to the good practice for the design and operation of the loading bays, we encourage buildings owners to explore other means to achieve the same design and operation principles.</w:t>
      </w:r>
    </w:p>
    <w:p>
      <w:pPr>
        <w:pStyle w:val="BodyText"/>
      </w:pPr>
      <w:r>
        <w:t xml:space="preserve">The Best Practice Guide supplements the technical agencies’ prevailing Code of Practices, requirements or design standards, which should take precedence.</w:t>
      </w:r>
    </w:p>
    <w:bookmarkStart w:id="39" w:name="LoadingBay1"/>
    <w:bookmarkEnd w:id="39"/>
    <w:bookmarkEnd w:id="40"/>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32" Target="https://www.ura.gov.sg/-/media/Corporate/Guidelines/Development-control/Circulars/2020/Aug/dc20-06---Appendix.pdf" TargetMode="External" /><Relationship Type="http://schemas.openxmlformats.org/officeDocument/2006/relationships/hyperlink" Id="rId38" Target="https://www.ura.gov.sg/-/media/Corporate/Guidelines/Development-control/Circulars/2020/Jul/dc20-05---Guideline.pdf" TargetMode="External" /><Relationship Type="http://schemas.openxmlformats.org/officeDocument/2006/relationships/hyperlink" Id="rId30" Target="https://www.ura.gov.sg/-/media/Corporate/Guidelines/Development-control/Flats-Condominiums/Central_Area_Map_1.pdf" TargetMode="External" /><Relationship Type="http://schemas.openxmlformats.org/officeDocument/2006/relationships/hyperlink" Id="rId25" Target="https://www.ura.gov.sg/-/media/Corporate/Guidelines/Development-control/Industrial/Range_Based_Car_Parking_Standard.jpg?h=100%25&amp;w=100%25" TargetMode="External" /><Relationship Type="http://schemas.openxmlformats.org/officeDocument/2006/relationships/hyperlink" Id="rId31" Target="https://www.ura.gov.sg/Corporate/Data/circulars/2019/Mar/dc19-04"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32" Target="https://www.ura.gov.sg/-/media/Corporate/Guidelines/Development-control/Circulars/2020/Aug/dc20-06---Appendix.pdf" TargetMode="External" /><Relationship Type="http://schemas.openxmlformats.org/officeDocument/2006/relationships/hyperlink" Id="rId38" Target="https://www.ura.gov.sg/-/media/Corporate/Guidelines/Development-control/Circulars/2020/Jul/dc20-05---Guideline.pdf" TargetMode="External" /><Relationship Type="http://schemas.openxmlformats.org/officeDocument/2006/relationships/hyperlink" Id="rId30" Target="https://www.ura.gov.sg/-/media/Corporate/Guidelines/Development-control/Flats-Condominiums/Central_Area_Map_1.pdf" TargetMode="External" /><Relationship Type="http://schemas.openxmlformats.org/officeDocument/2006/relationships/hyperlink" Id="rId25" Target="https://www.ura.gov.sg/-/media/Corporate/Guidelines/Development-control/Industrial/Range_Based_Car_Parking_Standard.jpg?h=100%25&amp;w=100%25" TargetMode="External" /><Relationship Type="http://schemas.openxmlformats.org/officeDocument/2006/relationships/hyperlink" Id="rId31" Target="https://www.ura.gov.sg/Corporate/Data/circulars/2019/Mar/dc19-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2024-05-23T09:31:53Z</dcterms:created>
  <dcterms:modified xsi:type="dcterms:W3CDTF">2024-05-23T09:31:53Z</dcterms:modified>
</cp:coreProperties>
</file>

<file path=docProps/custom.xml><?xml version="1.0" encoding="utf-8"?>
<Properties xmlns="http://schemas.openxmlformats.org/officeDocument/2006/custom-properties" xmlns:vt="http://schemas.openxmlformats.org/officeDocument/2006/docPropsVTypes"/>
</file>