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trata-subdivision"/>
    <w:p>
      <w:pPr>
        <w:pStyle w:val="Heading3"/>
      </w:pPr>
      <w:r>
        <w:t xml:space="preserve">Strata Subdivision</w:t>
      </w:r>
    </w:p>
    <w:p>
      <w:pPr>
        <w:pStyle w:val="FirstParagraph"/>
      </w:pPr>
      <w:r>
        <w:t xml:space="preserve">Areas where strata subdivision of the commercial component of commercial and mixed-use developments may not be allowed are as follows</w:t>
      </w:r>
      <w:r>
        <w:t xml:space="preserve">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Plan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1-1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Along Orchard Road, Tanglin Road and Scotts Road (Orchard Road corridor)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1-2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Along Shenton Way, Robinson Road, Anson Road, Raffles Quay, facing Raffles Place Park, and along the Singapore River (CBD corridor)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1-3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In close proximity to key landmarks of national significance</w:t>
              </w:r>
            </w:hyperlink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URA may also impose strata subdivision restrictions on other sites of strategic importance in Central Area and Outside Central Area based on the context and significance of each site.</w:t>
      </w:r>
    </w:p>
    <w:p>
      <w:pPr>
        <w:pStyle w:val="BodyText"/>
      </w:pPr>
      <w:r>
        <w:t xml:space="preserve">Restrictions on strata subdivision will also be imposed on developments that are approved under the CBD Incentive Scheme or Strategic Development Incentive (SDI) Scheme.</w:t>
      </w:r>
    </w:p>
    <w:p>
      <w:pPr>
        <w:pStyle w:val="BodyText"/>
      </w:pPr>
      <w:r>
        <w:t xml:space="preserve">As the intention of the guidelines is to limit the number of strata lots within a development to avoid fragmented ownership, strata subdivision for the purpose of delineating boundaries between different uses within mixed-use developments will continue to be permitted. For example, office and retail uses within a development can each form a strata lot.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15 March 2022</w:t>
      </w:r>
    </w:p>
    <w:bookmarkEnd w:id="23"/>
    <w:bookmarkStart w:id="25" w:name="column_0_right_1_txtTitle"/>
    <w:bookmarkStart w:id="24" w:name="section"/>
    <w:p>
      <w:pPr>
        <w:pStyle w:val="Heading3"/>
      </w:pP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/-/media/Corporate/Guidelines/Development-control/Commercial/CBD_Appendix-1-2.pdf" TargetMode="External" /><Relationship Type="http://schemas.openxmlformats.org/officeDocument/2006/relationships/hyperlink" Id="rId22" Target="/-/media/Corporate/Guidelines/Development-control/Commercial/Civic-District_Appendix-1-3.pdf" TargetMode="External" /><Relationship Type="http://schemas.openxmlformats.org/officeDocument/2006/relationships/hyperlink" Id="rId20" Target="/-/media/Corporate/Guidelines/Development-control/Commercial/Orchard_Appendix-1-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/-/media/Corporate/Guidelines/Development-control/Commercial/CBD_Appendix-1-2.pdf" TargetMode="External" /><Relationship Type="http://schemas.openxmlformats.org/officeDocument/2006/relationships/hyperlink" Id="rId22" Target="/-/media/Corporate/Guidelines/Development-control/Commercial/Civic-District_Appendix-1-3.pdf" TargetMode="External" /><Relationship Type="http://schemas.openxmlformats.org/officeDocument/2006/relationships/hyperlink" Id="rId20" Target="/-/media/Corporate/Guidelines/Development-control/Commercial/Orchard_Appendix-1-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2024-05-23T00:51:57Z</dcterms:created>
  <dcterms:modified xsi:type="dcterms:W3CDTF">2024-05-23T00:51:57Z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