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walking-and-cycling-plan-wcp"/>
    <w:p>
      <w:pPr>
        <w:pStyle w:val="Heading3"/>
      </w:pPr>
      <w:r>
        <w:t xml:space="preserve">Walking and Cycling Plan (WCP)</w:t>
      </w:r>
    </w:p>
    <w:bookmarkEnd w:id="20"/>
    <w:bookmarkStart w:id="22" w:name="column_0_right_1_txtTitle"/>
    <w:bookmarkStart w:id="21" w:name="section"/>
    <w:p>
      <w:pPr>
        <w:pStyle w:val="Heading3"/>
      </w:pPr>
    </w:p>
    <w:bookmarkEnd w:id="21"/>
    <w:bookmarkEnd w:id="22"/>
    <w:p>
      <w:pPr>
        <w:pStyle w:val="FirstParagraph"/>
      </w:pPr>
      <w:hyperlink w:anchor="Submission"/>
    </w:p>
    <w:p>
      <w:pPr>
        <w:pStyle w:val="BodyText"/>
      </w:pPr>
      <w:r>
        <w:t xml:space="preserve">Submission of WCP</w:t>
      </w:r>
    </w:p>
    <w:bookmarkStart w:id="26" w:name="Submission"/>
    <w:p>
      <w:pPr>
        <w:pStyle w:val="BodyText"/>
      </w:pPr>
      <w:r>
        <w:t xml:space="preserve">Commercial developments with expected high pedestrian and cyclist traffic are required to provide a WCP as part of the Development Application. As a guide, development types listed in the table below are subject to WCP requirement.</w:t>
      </w:r>
    </w:p>
    <w:p>
      <w:pPr>
        <w:pStyle w:val="BodyText"/>
      </w:pPr>
      <w:r>
        <w:rPr>
          <w:b/>
          <w:bCs/>
        </w:rPr>
        <w:t xml:space="preserve">Development Types that require WCP as part of TIA</w:t>
      </w:r>
      <w:r>
        <w:rPr>
          <w:b/>
          <w:bCs/>
          <w:vertAlign w:val="superscript"/>
        </w:rPr>
        <w:t xml:space="preserve">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Development Type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Scale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Residential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  <w:r>
              <w:t xml:space="preserve">1.1 ≥ 700 units</w:t>
            </w:r>
            <w:r>
              <w:br/>
            </w:r>
            <w:r>
              <w:t xml:space="preserve">1.2 ≥ 1,000 units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Commercial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  <w:r>
              <w:t xml:space="preserve">2.1 ≥ 10,000sqm GFA</w:t>
            </w:r>
            <w:r>
              <w:br/>
            </w:r>
            <w:r>
              <w:t xml:space="preserve">2.2 ≥ 20,000sqm GFA</w:t>
            </w:r>
            <w:r>
              <w:br/>
            </w:r>
            <w:r>
              <w:t xml:space="preserve">2.3 ≥ 700 rooms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03"/>
              </w:numPr>
              <w:jc w:val="left"/>
            </w:pPr>
            <w:r>
              <w:t xml:space="preserve">Industrial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  <w:r>
              <w:t xml:space="preserve">3.1 ≥ 60,000sqm GFA</w:t>
            </w:r>
            <w:r>
              <w:br/>
            </w:r>
            <w:r>
              <w:t xml:space="preserve">3.2 ≥ 50,000sqm GFA</w:t>
            </w:r>
            <w:r>
              <w:br/>
            </w:r>
            <w:r>
              <w:t xml:space="preserve">3.3 ≥ 40,000sqm GFA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04"/>
              </w:numPr>
              <w:jc w:val="left"/>
            </w:pPr>
            <w:r>
              <w:t xml:space="preserve">Educational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  <w:r>
              <w:t xml:space="preserve">4.1 ≥ 1,500 students (single-session) or ≥ 2,000 students (double-session)</w:t>
            </w:r>
            <w:r>
              <w:br/>
            </w:r>
            <w:r>
              <w:t xml:space="preserve">4.2 ≥ 2,000 students</w:t>
            </w:r>
            <w:r>
              <w:br/>
            </w:r>
            <w:r>
              <w:t xml:space="preserve">4.3 ≥ 2,000 students</w:t>
            </w:r>
            <w:r>
              <w:br/>
            </w:r>
            <w:r>
              <w:t xml:space="preserve">4.4 ≥ 2,000 students</w:t>
            </w:r>
            <w:r>
              <w:br/>
            </w:r>
            <w:r>
              <w:t xml:space="preserve">4.5 TIA Required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05"/>
              </w:numPr>
              <w:jc w:val="left"/>
            </w:pPr>
            <w:r>
              <w:t xml:space="preserve">Medical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  <w:r>
              <w:t xml:space="preserve">≥ 40,000sqm GFA or ≥ 320 Beds (whichever is triggered first)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06"/>
              </w:numPr>
              <w:jc w:val="left"/>
            </w:pPr>
            <w:r>
              <w:t xml:space="preserve">Recreational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  <w:r>
              <w:t xml:space="preserve">≥ 30,000sqm GFA</w:t>
            </w:r>
          </w:p>
        </w:tc>
      </w:tr>
    </w:tbl>
    <w:p>
      <w:pPr>
        <w:pStyle w:val="BodyText"/>
      </w:pPr>
      <w:r>
        <w:br/>
      </w:r>
    </w:p>
    <w:p>
      <w:pPr>
        <w:pStyle w:val="BodyText"/>
      </w:pPr>
      <w:r>
        <w:t xml:space="preserve">Developments not listed in the table above may also be required to submit a WCP if they fall under the following criteria:</w:t>
      </w:r>
    </w:p>
    <w:p>
      <w:pPr>
        <w:pStyle w:val="Compact"/>
        <w:numPr>
          <w:ilvl w:val="0"/>
          <w:numId w:val="1007"/>
        </w:numPr>
      </w:pPr>
      <w:r>
        <w:t xml:space="preserve">Developments located in car-lite precincts</w:t>
      </w:r>
      <w:r>
        <w:rPr>
          <w:vertAlign w:val="superscript"/>
        </w:rPr>
        <w:t xml:space="preserve">4</w:t>
      </w:r>
      <w:r>
        <w:t xml:space="preserve">; or</w:t>
      </w:r>
    </w:p>
    <w:p>
      <w:pPr>
        <w:pStyle w:val="Compact"/>
        <w:numPr>
          <w:ilvl w:val="0"/>
          <w:numId w:val="1007"/>
        </w:numPr>
      </w:pPr>
      <w:r>
        <w:t xml:space="preserve">Developments located within 400m of major transport nodes, ie within Zone 2</w:t>
      </w:r>
      <w:r>
        <w:rPr>
          <w:vertAlign w:val="superscript"/>
        </w:rPr>
        <w:t xml:space="preserve">5</w:t>
      </w:r>
      <w:r>
        <w:t xml:space="preserve">; or</w:t>
      </w:r>
    </w:p>
    <w:p>
      <w:pPr>
        <w:pStyle w:val="Compact"/>
        <w:numPr>
          <w:ilvl w:val="0"/>
          <w:numId w:val="1007"/>
        </w:numPr>
      </w:pPr>
      <w:r>
        <w:t xml:space="preserve">Retail, Office, Mixed Use developments.</w:t>
      </w:r>
    </w:p>
    <w:p>
      <w:pPr>
        <w:pStyle w:val="FirstParagraph"/>
      </w:pPr>
      <w:r>
        <w:t xml:space="preserve">Applicants of developments meeting the above criteria are strongly encouraged to check in early with LTA for the requirement of a WCP. See the diagram below for the submission flowchart to LTA and URA.</w:t>
      </w:r>
    </w:p>
    <w:p>
      <w:pPr>
        <w:pStyle w:val="BodyText"/>
      </w:pPr>
      <w:hyperlink r:id="rId23">
        <w:r>
          <w:rPr>
            <w:rStyle w:val="Hyperlink"/>
          </w:rPr>
          <w:t xml:space="preserve">https://ura.gov.sg/-/media/Corporate/Guidelines/Development-control/Others/WCP.jpg</w:t>
        </w:r>
      </w:hyperlink>
    </w:p>
    <w:p>
      <w:pPr>
        <w:pStyle w:val="BodyText"/>
      </w:pPr>
      <w:r>
        <w:rPr>
          <w:i/>
          <w:iCs/>
        </w:rPr>
        <w:t xml:space="preserve">Submission Flowchart</w:t>
      </w:r>
    </w:p>
    <w:p>
      <w:pPr>
        <w:pStyle w:val="BodyText"/>
      </w:pPr>
      <w:r>
        <w:rPr>
          <w:vertAlign w:val="superscript"/>
        </w:rPr>
        <w:t xml:space="preserve">1</w:t>
      </w:r>
      <w:r>
        <w:t xml:space="preserve"> </w:t>
      </w:r>
      <w:r>
        <w:t xml:space="preserve">Developments that have a master developer, and consist of two or more plots that staged at different time will also be required to submit a WCP at the concept design stage.</w:t>
      </w:r>
      <w:r>
        <w:t xml:space="preserve"> </w:t>
      </w:r>
    </w:p>
    <w:p>
      <w:pPr>
        <w:pStyle w:val="BodyText"/>
      </w:pPr>
      <w:r>
        <w:rPr>
          <w:vertAlign w:val="superscript"/>
        </w:rPr>
        <w:t xml:space="preserve">2</w:t>
      </w:r>
      <w:r>
        <w:t xml:space="preserve"> </w:t>
      </w:r>
      <w:r>
        <w:t xml:space="preserve">LTA and URA will work with HDB on the WCP requirements.</w:t>
      </w:r>
    </w:p>
    <w:p>
      <w:pPr>
        <w:pStyle w:val="BodyText"/>
      </w:pPr>
      <w:r>
        <w:rPr>
          <w:vertAlign w:val="superscript"/>
        </w:rPr>
        <w:t xml:space="preserve">3</w:t>
      </w:r>
      <w:r>
        <w:t xml:space="preserve"> </w:t>
      </w:r>
      <w:r>
        <w:t xml:space="preserve">Only industrial developments located within car-lite precincts or 400m of major transport nodes ie within Zone 2, will be required to submit a WCP.</w:t>
      </w:r>
    </w:p>
    <w:p>
      <w:pPr>
        <w:pStyle w:val="BodyText"/>
      </w:pPr>
      <w:r>
        <w:rPr>
          <w:vertAlign w:val="superscript"/>
        </w:rPr>
        <w:t xml:space="preserve">4</w:t>
      </w:r>
      <w:r>
        <w:t xml:space="preserve"> </w:t>
      </w:r>
      <w:r>
        <w:t xml:space="preserve">The five car-lite precincts are Bayshore, Jurong Lake District, Kampong Bugis, Marina South and Woodlands North.</w:t>
      </w:r>
    </w:p>
    <w:p>
      <w:pPr>
        <w:pStyle w:val="BodyText"/>
      </w:pPr>
      <w:r>
        <w:rPr>
          <w:vertAlign w:val="superscript"/>
        </w:rPr>
        <w:t xml:space="preserve">5</w:t>
      </w:r>
      <w:r>
        <w:t xml:space="preserve"> </w:t>
      </w:r>
      <w:r>
        <w:t xml:space="preserve">Zone 2 as defined in the Zonal Car Parking requirement in the Code of Practice on Vehicle Parking Provision in Development proposals. Please refer to</w:t>
      </w:r>
      <w:r>
        <w:t xml:space="preserve"> </w:t>
      </w:r>
      <w:hyperlink r:id="rId24">
        <w:r>
          <w:rPr>
            <w:rStyle w:val="Hyperlink"/>
          </w:rPr>
          <w:t xml:space="preserve">LTA's website</w:t>
        </w:r>
      </w:hyperlink>
      <w:r>
        <w:t xml:space="preserve"> </w:t>
      </w:r>
      <w:r>
        <w:t xml:space="preserve">for more details.</w:t>
      </w:r>
    </w:p>
    <w:bookmarkStart w:id="25" w:name="Submission1"/>
    <w:bookmarkEnd w:id="25"/>
    <w:bookmarkEnd w:id="26"/>
    <w:p>
      <w:pPr>
        <w:pStyle w:val="BodyText"/>
      </w:pPr>
      <w:hyperlink w:anchor="Design"/>
    </w:p>
    <w:p>
      <w:pPr>
        <w:pStyle w:val="BodyText"/>
      </w:pPr>
      <w:r>
        <w:t xml:space="preserve">Design of WCP</w:t>
      </w:r>
    </w:p>
    <w:bookmarkStart w:id="30" w:name="Design"/>
    <w:p>
      <w:pPr>
        <w:pStyle w:val="BodyText"/>
      </w:pPr>
      <w:r>
        <w:t xml:space="preserve">The WCP shall consider the safety, convenience, and accessibility of pedestrians and cyclists, and incorporate the following elements in the design of the development:</w:t>
      </w:r>
    </w:p>
    <w:p>
      <w:pPr>
        <w:pStyle w:val="Compact"/>
        <w:numPr>
          <w:ilvl w:val="0"/>
          <w:numId w:val="1008"/>
        </w:numPr>
      </w:pPr>
      <w:r>
        <w:t xml:space="preserve">Provision of convenient and direct access from nearby public transport facilities and adjacent developments;</w:t>
      </w:r>
    </w:p>
    <w:p>
      <w:pPr>
        <w:pStyle w:val="Compact"/>
        <w:numPr>
          <w:ilvl w:val="0"/>
          <w:numId w:val="1008"/>
        </w:numPr>
      </w:pPr>
      <w:r>
        <w:t xml:space="preserve">Provision of measures to minimise conflicts between pedestrians, cyclists and motor vehicles at locations such as the vehicular ingress/egress, car park entrances, and drop-off points;</w:t>
      </w:r>
    </w:p>
    <w:p>
      <w:pPr>
        <w:pStyle w:val="Compact"/>
        <w:numPr>
          <w:ilvl w:val="0"/>
          <w:numId w:val="1008"/>
        </w:numPr>
      </w:pPr>
      <w:r>
        <w:t xml:space="preserve">Provision of sufficient and conveniently located bicycle parking spaces and supporting amenities such as shower facilities and lockers;</w:t>
      </w:r>
    </w:p>
    <w:p>
      <w:pPr>
        <w:pStyle w:val="Compact"/>
        <w:numPr>
          <w:ilvl w:val="0"/>
          <w:numId w:val="1008"/>
        </w:numPr>
      </w:pPr>
      <w:r>
        <w:t xml:space="preserve">Provision of way-finding signage to public transport facilities and amenities for cyclists; and</w:t>
      </w:r>
    </w:p>
    <w:p>
      <w:pPr>
        <w:pStyle w:val="Compact"/>
        <w:numPr>
          <w:ilvl w:val="0"/>
          <w:numId w:val="1008"/>
        </w:numPr>
      </w:pPr>
      <w:r>
        <w:t xml:space="preserve">Provision of barrier-free access and routes for children, elderly and the mobility challenged groups.</w:t>
      </w:r>
    </w:p>
    <w:p>
      <w:pPr>
        <w:pStyle w:val="FirstParagraph"/>
      </w:pPr>
      <w:r>
        <w:t xml:space="preserve">The detailed guidelines on WCP and submission requirements are summarised in</w:t>
      </w:r>
      <w:r>
        <w:t xml:space="preserve"> </w:t>
      </w:r>
      <w:hyperlink r:id="rId27">
        <w:r>
          <w:rPr>
            <w:rStyle w:val="Hyperlink"/>
          </w:rPr>
          <w:t xml:space="preserve">LTA’s Code of Practice “Street Work Proposals Relating to Development Works”</w:t>
        </w:r>
      </w:hyperlink>
      <w:r>
        <w:t xml:space="preserve">.</w:t>
      </w:r>
    </w:p>
    <w:p>
      <w:pPr>
        <w:pStyle w:val="BodyText"/>
      </w:pPr>
      <w:r>
        <w:t xml:space="preserve">To provide assistance on developing active mobility-related infrastructure in a holistic manner, a Walking &amp; Cycling Design Guide has been produced as a supplement to the respective agencies’ prevailing COPs, engineering and development standards. The Guide can be downloaded</w:t>
      </w:r>
      <w:r>
        <w:t xml:space="preserve"> </w:t>
      </w:r>
      <w:hyperlink r:id="rId28">
        <w:r>
          <w:rPr>
            <w:rStyle w:val="Hyperlink"/>
          </w:rPr>
          <w:t xml:space="preserve">here</w:t>
        </w:r>
      </w:hyperlink>
      <w:r>
        <w:t xml:space="preserve">.</w:t>
      </w:r>
    </w:p>
    <w:bookmarkStart w:id="29" w:name="Design1"/>
    <w:bookmarkEnd w:id="29"/>
    <w:bookmarkEnd w:id="3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Last updated on 5 July 2019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202">
    <w:nsid w:val="00A9920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lowerLetter"/>
      <w:lvlText w:val="%2."/>
      <w:lvlJc w:val="left"/>
      <w:pPr>
        <w:ind w:left="1440" w:hanging="360"/>
      </w:pPr>
    </w:lvl>
    <w:lvl w:ilvl="2">
      <w:start w:val="2"/>
      <w:numFmt w:val="lowerRoman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lowerLetter"/>
      <w:lvlText w:val="%5."/>
      <w:lvlJc w:val="left"/>
      <w:pPr>
        <w:ind w:left="3600" w:hanging="360"/>
      </w:pPr>
    </w:lvl>
    <w:lvl w:ilvl="5">
      <w:start w:val="2"/>
      <w:numFmt w:val="lowerRoman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lowerLetter"/>
      <w:lvlText w:val="%8."/>
      <w:lvlJc w:val="left"/>
      <w:pPr>
        <w:ind w:left="5760" w:hanging="360"/>
      </w:pPr>
    </w:lvl>
    <w:lvl w:ilvl="8">
      <w:start w:val="2"/>
      <w:numFmt w:val="lowerRoman"/>
      <w:lvlText w:val="%9."/>
      <w:lvlJc w:val="left"/>
      <w:pPr>
        <w:ind w:left="6480" w:hanging="360"/>
      </w:pPr>
    </w:lvl>
  </w:abstractNum>
  <w:abstractNum w:abstractNumId="99203">
    <w:nsid w:val="00A9920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lowerLetter"/>
      <w:lvlText w:val="%2."/>
      <w:lvlJc w:val="left"/>
      <w:pPr>
        <w:ind w:left="1440" w:hanging="360"/>
      </w:pPr>
    </w:lvl>
    <w:lvl w:ilvl="2">
      <w:start w:val="3"/>
      <w:numFmt w:val="lowerRoman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lowerLetter"/>
      <w:lvlText w:val="%5."/>
      <w:lvlJc w:val="left"/>
      <w:pPr>
        <w:ind w:left="3600" w:hanging="360"/>
      </w:pPr>
    </w:lvl>
    <w:lvl w:ilvl="5">
      <w:start w:val="3"/>
      <w:numFmt w:val="lowerRoman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lowerLetter"/>
      <w:lvlText w:val="%8."/>
      <w:lvlJc w:val="left"/>
      <w:pPr>
        <w:ind w:left="5760" w:hanging="360"/>
      </w:pPr>
    </w:lvl>
    <w:lvl w:ilvl="8">
      <w:start w:val="3"/>
      <w:numFmt w:val="lowerRoman"/>
      <w:lvlText w:val="%9."/>
      <w:lvlJc w:val="left"/>
      <w:pPr>
        <w:ind w:left="6480" w:hanging="360"/>
      </w:pPr>
    </w:lvl>
  </w:abstractNum>
  <w:abstractNum w:abstractNumId="99204">
    <w:nsid w:val="00A9920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lowerLetter"/>
      <w:lvlText w:val="%2."/>
      <w:lvlJc w:val="left"/>
      <w:pPr>
        <w:ind w:left="1440" w:hanging="360"/>
      </w:pPr>
    </w:lvl>
    <w:lvl w:ilvl="2">
      <w:start w:val="4"/>
      <w:numFmt w:val="lowerRoman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lowerLetter"/>
      <w:lvlText w:val="%5."/>
      <w:lvlJc w:val="left"/>
      <w:pPr>
        <w:ind w:left="3600" w:hanging="360"/>
      </w:pPr>
    </w:lvl>
    <w:lvl w:ilvl="5">
      <w:start w:val="4"/>
      <w:numFmt w:val="lowerRoman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lowerLetter"/>
      <w:lvlText w:val="%8."/>
      <w:lvlJc w:val="left"/>
      <w:pPr>
        <w:ind w:left="5760" w:hanging="360"/>
      </w:pPr>
    </w:lvl>
    <w:lvl w:ilvl="8">
      <w:start w:val="4"/>
      <w:numFmt w:val="lowerRoman"/>
      <w:lvlText w:val="%9."/>
      <w:lvlJc w:val="left"/>
      <w:pPr>
        <w:ind w:left="6480" w:hanging="360"/>
      </w:pPr>
    </w:lvl>
  </w:abstractNum>
  <w:abstractNum w:abstractNumId="99205">
    <w:nsid w:val="00A9920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lowerLetter"/>
      <w:lvlText w:val="%2."/>
      <w:lvlJc w:val="left"/>
      <w:pPr>
        <w:ind w:left="1440" w:hanging="360"/>
      </w:pPr>
    </w:lvl>
    <w:lvl w:ilvl="2">
      <w:start w:val="5"/>
      <w:numFmt w:val="lowerRoman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lowerLetter"/>
      <w:lvlText w:val="%5."/>
      <w:lvlJc w:val="left"/>
      <w:pPr>
        <w:ind w:left="3600" w:hanging="360"/>
      </w:pPr>
    </w:lvl>
    <w:lvl w:ilvl="5">
      <w:start w:val="5"/>
      <w:numFmt w:val="lowerRoman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lowerLetter"/>
      <w:lvlText w:val="%8."/>
      <w:lvlJc w:val="left"/>
      <w:pPr>
        <w:ind w:left="5760" w:hanging="360"/>
      </w:pPr>
    </w:lvl>
    <w:lvl w:ilvl="8">
      <w:start w:val="5"/>
      <w:numFmt w:val="lowerRoman"/>
      <w:lvlText w:val="%9."/>
      <w:lvlJc w:val="left"/>
      <w:pPr>
        <w:ind w:left="6480" w:hanging="360"/>
      </w:pPr>
    </w:lvl>
  </w:abstractNum>
  <w:abstractNum w:abstractNumId="99206">
    <w:nsid w:val="00A9920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lowerLetter"/>
      <w:lvlText w:val="%2."/>
      <w:lvlJc w:val="left"/>
      <w:pPr>
        <w:ind w:left="1440" w:hanging="360"/>
      </w:pPr>
    </w:lvl>
    <w:lvl w:ilvl="2">
      <w:start w:val="6"/>
      <w:numFmt w:val="lowerRoman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lowerLetter"/>
      <w:lvlText w:val="%5."/>
      <w:lvlJc w:val="left"/>
      <w:pPr>
        <w:ind w:left="3600" w:hanging="360"/>
      </w:pPr>
    </w:lvl>
    <w:lvl w:ilvl="5">
      <w:start w:val="6"/>
      <w:numFmt w:val="lowerRoman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lowerLetter"/>
      <w:lvlText w:val="%8."/>
      <w:lvlJc w:val="left"/>
      <w:pPr>
        <w:ind w:left="5760" w:hanging="360"/>
      </w:pPr>
    </w:lvl>
    <w:lvl w:ilvl="8">
      <w:start w:val="6"/>
      <w:numFmt w:val="lowerRoman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20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20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20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20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ura.gov.sg/-/media/Corporate/Guidelines/Development-control/Others/WCP.jpg" TargetMode="External" /><Relationship Type="http://schemas.openxmlformats.org/officeDocument/2006/relationships/hyperlink" Id="rId27" Target="https://www.lta.gov.sg/content/ltaweb/en/industry-matters/development-and-building-and-construction-and-utility-works/street-proposals.html" TargetMode="External" /><Relationship Type="http://schemas.openxmlformats.org/officeDocument/2006/relationships/hyperlink" Id="rId24" Target="https://www.lta.gov.sg/content/ltaweb/en/industry-matters/development-and-building-and-construction-and-utility-works/vehicle-parking.html" TargetMode="External" /><Relationship Type="http://schemas.openxmlformats.org/officeDocument/2006/relationships/hyperlink" Id="rId28" Target="https://www.lta.gov.sg/content/ltaweb/en/walk-cycle-ride/WCP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ura.gov.sg/-/media/Corporate/Guidelines/Development-control/Others/WCP.jpg" TargetMode="External" /><Relationship Type="http://schemas.openxmlformats.org/officeDocument/2006/relationships/hyperlink" Id="rId27" Target="https://www.lta.gov.sg/content/ltaweb/en/industry-matters/development-and-building-and-construction-and-utility-works/street-proposals.html" TargetMode="External" /><Relationship Type="http://schemas.openxmlformats.org/officeDocument/2006/relationships/hyperlink" Id="rId24" Target="https://www.lta.gov.sg/content/ltaweb/en/industry-matters/development-and-building-and-construction-and-utility-works/vehicle-parking.html" TargetMode="External" /><Relationship Type="http://schemas.openxmlformats.org/officeDocument/2006/relationships/hyperlink" Id="rId28" Target="https://www.lta.gov.sg/content/ltaweb/en/walk-cycle-ride/WCP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2024-05-23T03:20:25Z</dcterms:created>
  <dcterms:modified xsi:type="dcterms:W3CDTF">2024-05-23T03:20:25Z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