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Commercial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</w:t>
      </w:r>
      <w:r>
        <w:t xml:space="preserve"> </w:t>
      </w:r>
      <w:hyperlink r:id="rId27">
        <w:r>
          <w:rPr>
            <w:rStyle w:val="Hyperlink"/>
          </w:rPr>
          <w:t xml:space="preserve">LTA’s Code of Practice 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2024-05-23T09:31:58Z</dcterms:created>
  <dcterms:modified xsi:type="dcterms:W3CDTF">2024-05-23T09:31:58Z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