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p>
    <w:p>
      <w:pPr>
        <w:pStyle w:val="BodyText"/>
      </w:pPr>
      <w:hyperlink r:id="rId20">
        <w:r>
          <w:rPr>
            <w:rStyle w:val="Hyperlink"/>
            <w:i/>
            <w:iCs/>
          </w:rPr>
          <w:t xml:space="preserve">https://ura.gov.sg/-/media/Corporate/Guidelines/Development-control/Others/E04_Setbacks_of_Ancillary_Structures.jpg?h=100%25&amp;w=100%25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and 2 roads</w:t>
            </w:r>
            <w:r>
              <w:br/>
            </w:r>
            <w:r>
              <w:br/>
            </w:r>
            <w:r>
              <w:t xml:space="preserve">3m from Category 3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Others/E04_Setbacks_of_Ancillary_Structures.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Others/E04_Setbacks_of_Ancillary_Structures.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2024-05-23T03:20:26Z</dcterms:created>
  <dcterms:modified xsi:type="dcterms:W3CDTF">2024-05-23T03:20:26Z</dcterms:modified>
</cp:coreProperties>
</file>

<file path=docProps/custom.xml><?xml version="1.0" encoding="utf-8"?>
<Properties xmlns="http://schemas.openxmlformats.org/officeDocument/2006/custom-properties" xmlns:vt="http://schemas.openxmlformats.org/officeDocument/2006/docPropsVTypes"/>
</file>