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mercial-quantum"/>
    <w:p>
      <w:pPr>
        <w:pStyle w:val="Heading3"/>
      </w:pPr>
      <w:r>
        <w:t xml:space="preserve">Commercial Quantum</w:t>
      </w:r>
    </w:p>
    <w:p>
      <w:pPr>
        <w:pStyle w:val="FirstParagraph"/>
      </w:pPr>
      <w:r>
        <w:t xml:space="preserve">For institutions of higher learning (universities, polytechnics) such as SIM, NAFA, LASALLE and INSEAD, the maximum (upper bound) allowable commercial use is 5% of the total proposed GFA or 30,000sqm, whichever is lower.</w:t>
      </w:r>
    </w:p>
    <w:p>
      <w:pPr>
        <w:pStyle w:val="BodyText"/>
      </w:pPr>
      <w:r>
        <w:t xml:space="preserve">Examples of commercial uses within EI developments include food courts, restaurants, cafes, book &amp; stationery shops, hair salons, minimarts, banks, travel agencies, medical clinics, student-run businesses.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2024-05-23T09:32:00Z</dcterms:created>
  <dcterms:modified xsi:type="dcterms:W3CDTF">2024-05-23T09:32:00Z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