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building-height"/>
    <w:p>
      <w:pPr>
        <w:pStyle w:val="Heading3"/>
      </w:pPr>
      <w:r>
        <w:t xml:space="preserve">Gross Plot Ratio &amp; Building Height</w:t>
      </w:r>
    </w:p>
    <w:p>
      <w:pPr>
        <w:pStyle w:val="FirstParagraph"/>
      </w:pPr>
      <w:r>
        <w:drawing>
          <wp:inline>
            <wp:extent cx="9525" cy="9525"/>
            <wp:effectExtent b="0" l="0" r="0" t="0"/>
            <wp:docPr descr="The allowable Gross Plot Ratio (GPR) and number of storeys for the Education and Institution shall take into account the character of the surrounding area. As a guide, depending on the allowable GPR, the corresponding number of storeys are shown in the table below. The actual number of storeys allowed may vary, or be higher, depending on the site topography, site condition and the context of the surrounding area. For redevelopment of an existing approved Education and Institution or to carry out major extensions to it, the proposed increase in GPR or GFA is subject to planning consideration taking into account the location of the Education and Institution, context of the surrounding area and requirements of other government agencies. Planning approval from URA shall be obtained first before commencement of works."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 of Education and Institution</w:t>
      </w:r>
    </w:p>
    <w:bookmarkEnd w:id="23"/>
    <w:bookmarkStart w:id="25" w:name="column_0_right_1_txtTitle"/>
    <w:bookmarkStart w:id="24" w:name="section"/>
    <w:p>
      <w:pPr>
        <w:pStyle w:val="Heading3"/>
      </w:pPr>
    </w:p>
    <w:bookmarkEnd w:id="24"/>
    <w:bookmarkEnd w:id="25"/>
    <w:p>
      <w:pPr>
        <w:pStyle w:val="FirstParagraph"/>
      </w:pPr>
      <w:hyperlink w:anchor="Storey-Height"/>
    </w:p>
    <w:p>
      <w:pPr>
        <w:pStyle w:val="BodyText"/>
      </w:pPr>
      <w:r>
        <w:t xml:space="preserve">Gross Plot Ratio and Storey Height</w:t>
      </w:r>
    </w:p>
    <w:bookmarkStart w:id="27" w:name="Storey-Height"/>
    <w:p>
      <w:pPr>
        <w:pStyle w:val="BodyText"/>
      </w:pPr>
      <w:r>
        <w:t xml:space="preserve">The allowable Gross Plot Ratio (GPR) and number of storeys for the EI shall take into account the character of the surrounding area. As a guide, depending on the allowable GPR, the corresponding number of storeys are shown in the table below. The actual number of storeys allowed may vary, or be higher, depending on the site topography, site condition and the context of the surrounding area. </w:t>
      </w:r>
    </w:p>
    <w:p>
      <w:pPr>
        <w:pStyle w:val="BodyText"/>
      </w:pPr>
      <w:r>
        <w:t xml:space="preserve">Basement storeys that protrude more than 1.0m above ground level on any side shall be counted as a storey.</w:t>
      </w:r>
    </w:p>
    <w:p>
      <w:pPr>
        <w:pStyle w:val="BodyText"/>
      </w:pPr>
      <w:r>
        <w:t xml:space="preserve">For redevelopment of an existing approved EI or to carry out major extensions to it, the proposed increase in GPR or GFA is subject to planning consideration taking into account the location of the EI, context of the surrounding area and requirements of other government agencies. Planning approval from URA shall be obtained first before commencement of works.</w:t>
      </w:r>
    </w:p>
    <w:p>
      <w:pPr>
        <w:pStyle w:val="BodyText"/>
      </w:pPr>
      <w:r>
        <w:rPr>
          <w:b/>
          <w:bCs/>
        </w:rPr>
        <w:t xml:space="preserve">Allowable Gross Plot Ratio and Storey Height</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left"/>
            </w:pPr>
            <w:r>
              <w:rPr>
                <w:b/>
                <w:bCs/>
              </w:rPr>
              <w:t xml:space="preserve">Gross Plot Ratio Control</w:t>
            </w:r>
          </w:p>
        </w:tc>
        <w:tc>
          <w:tcPr/>
          <w:p>
            <w:pPr>
              <w:pStyle w:val="Compact"/>
              <w:jc w:val="left"/>
            </w:pPr>
            <w:r>
              <w:rPr>
                <w:b/>
                <w:bCs/>
              </w:rPr>
              <w:t xml:space="preserve">Guide for Storey Height</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gridSpan w:val="1"/>
            <w:vMerge w:val="continue"/>
          </w:tcPr>
          <w:p>
            <w:pPr/>
          </w:p>
        </w:tc>
        <w:tc>
          <w:tcPr/>
          <w:p>
            <w:pPr>
              <w:pStyle w:val="Compact"/>
              <w:jc w:val="left"/>
            </w:pPr>
            <w:r>
              <w:t xml:space="preserve">Up to 3 storeys</w:t>
            </w: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p>
        </w:tc>
        <w:tc>
          <w:tcPr>
            <w:vMerge w:val="restart"/>
          </w:tcPr>
          <w:p>
            <w:pPr>
              <w:pStyle w:val="Compact"/>
              <w:jc w:val="left"/>
            </w:pPr>
            <w:r>
              <w:t xml:space="preserve">Up to 4 storeys</w:t>
            </w:r>
          </w:p>
        </w:tc>
      </w:tr>
      <w:tr>
        <w:tc>
          <w:tcPr/>
          <w:p>
            <w:pPr>
              <w:pStyle w:val="Compact"/>
              <w:jc w:val="left"/>
            </w:pPr>
            <w:r>
              <w:t xml:space="preserve">Within or at the fringe of industrial estates</w:t>
            </w:r>
          </w:p>
        </w:tc>
        <w:tc>
          <w:tcPr>
            <w:gridSpan w:val="1"/>
            <w:vMerge w:val="continue"/>
          </w:tcPr>
          <w:p>
            <w:pP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gridSpan w:val="2"/>
          </w:tcPr>
          <w:p>
            <w:pPr>
              <w:pStyle w:val="Compact"/>
              <w:jc w:val="left"/>
            </w:pPr>
            <w:r>
              <w:t xml:space="preserve">Subject to evaluation and localised urban design guidelines</w:t>
            </w:r>
          </w:p>
        </w:tc>
      </w:tr>
    </w:tbl>
    <w:bookmarkStart w:id="26" w:name="Storey-Height1"/>
    <w:bookmarkEnd w:id="26"/>
    <w:bookmarkEnd w:id="27"/>
    <w:p>
      <w:pPr>
        <w:pStyle w:val="BodyText"/>
      </w:pPr>
      <w:hyperlink w:anchor="Overall-Building-Height"/>
    </w:p>
    <w:p>
      <w:pPr>
        <w:pStyle w:val="BodyText"/>
      </w:pPr>
      <w:r>
        <w:t xml:space="preserve">Overall Building Height</w:t>
      </w:r>
    </w:p>
    <w:bookmarkStart w:id="29" w:name="Overall-Building-Height"/>
    <w:p>
      <w:pPr>
        <w:pStyle w:val="BodyText"/>
      </w:pPr>
      <w:r>
        <w:t xml:space="preserve">Unless otherwise stated, the overall building height</w:t>
      </w:r>
      <w:r>
        <w:rPr>
          <w:vertAlign w:val="superscript"/>
        </w:rPr>
        <w:t xml:space="preserve">1</w:t>
      </w:r>
      <w:r>
        <w:t xml:space="preserve"> </w:t>
      </w:r>
      <w:r>
        <w:t xml:space="preserve">of EI developments is subject to compliance with the technical height controls of the relevant agencies such as Civil Aviation Authority of Singapore (CAAS) and the Defence Science and Technology Agency (DSTA).</w:t>
      </w:r>
    </w:p>
    <w:p>
      <w:pPr>
        <w:pStyle w:val="BodyText"/>
      </w:pPr>
      <w:r>
        <w:rPr>
          <w:vertAlign w:val="superscript"/>
        </w:rPr>
        <w:t xml:space="preserve">1</w:t>
      </w:r>
      <w:r>
        <w:t xml:space="preserve"> Building height is based on Singapore Height Datum (SHD). </w:t>
      </w:r>
    </w:p>
    <w:bookmarkStart w:id="28" w:name="Overall-Building-Height1"/>
    <w:bookmarkEnd w:id="28"/>
    <w:bookmarkEnd w:id="29"/>
    <w:p>
      <w:pPr>
        <w:pStyle w:val="BodyText"/>
      </w:pPr>
      <w:hyperlink w:anchor="Floor-to-Floor-Height"/>
    </w:p>
    <w:p>
      <w:pPr>
        <w:pStyle w:val="BodyText"/>
      </w:pPr>
      <w:r>
        <w:t xml:space="preserve">Floor-to-Floor Height</w:t>
      </w:r>
    </w:p>
    <w:bookmarkStart w:id="31" w:name="Floor-to-Floor-Height"/>
    <w:p>
      <w:pPr>
        <w:pStyle w:val="BodyText"/>
      </w:pPr>
      <w:r>
        <w:t xml:space="preserve">The maximum floor-to-floor height of EI developments is 5.0m.</w:t>
      </w:r>
    </w:p>
    <w:bookmarkStart w:id="30" w:name="Floor-to-Floor-Height1"/>
    <w:bookmarkEnd w:id="30"/>
    <w:bookmarkEnd w:id="31"/>
    <w:p>
      <w:pPr>
        <w:pStyle w:val="BodyText"/>
      </w:pPr>
      <w:hyperlink w:anchor="Sky-Terrace"/>
    </w:p>
    <w:p>
      <w:pPr>
        <w:pStyle w:val="BodyText"/>
      </w:pPr>
      <w:r>
        <w:t xml:space="preserve">Additional Height for Predominant Sky Terrace Storey</w:t>
      </w:r>
    </w:p>
    <w:bookmarkStart w:id="36" w:name="Sky-Terrace"/>
    <w:p>
      <w:pPr>
        <w:pStyle w:val="BodyText"/>
      </w:pPr>
      <w:r>
        <w:drawing>
          <wp:inline>
            <wp:extent cx="9525" cy="9525"/>
            <wp:effectExtent b="0" l="0" r="0" t="0"/>
            <wp:docPr descr="Additional height for sky terrace floor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EI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 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4">
        <w:r>
          <w:rPr>
            <w:rStyle w:val="Hyperlink"/>
          </w:rPr>
          <w:t xml:space="preserve">urban design areas</w:t>
        </w:r>
      </w:hyperlink>
      <w:r>
        <w:t xml:space="preserve"> with site-specific height considerations.</w:t>
      </w:r>
    </w:p>
    <w:bookmarkStart w:id="35" w:name="Sky-Terrace1"/>
    <w:bookmarkEnd w:id="35"/>
    <w:bookmarkEnd w:id="36"/>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4" Target="/Corporate/Guidelines/Urban-Design" TargetMode="External" /></Relationships>
</file>

<file path=word/_rels/footnotes.xml.rels><?xml version="1.0" encoding="UTF-8"?><Relationships xmlns="http://schemas.openxmlformats.org/package/2006/relationships"><Relationship Type="http://schemas.openxmlformats.org/officeDocument/2006/relationships/hyperlink" Id="rId34" Target="/Corporate/Guidelines/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2024-05-23T00:52:00Z</dcterms:created>
  <dcterms:modified xsi:type="dcterms:W3CDTF">2024-05-23T00:52:00Z</dcterms:modified>
</cp:coreProperties>
</file>

<file path=docProps/custom.xml><?xml version="1.0" encoding="utf-8"?>
<Properties xmlns="http://schemas.openxmlformats.org/officeDocument/2006/custom-properties" xmlns:vt="http://schemas.openxmlformats.org/officeDocument/2006/docPropsVTypes"/>
</file>