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pecial-education-schools"/>
    <w:p>
      <w:pPr>
        <w:pStyle w:val="Heading3"/>
      </w:pPr>
      <w:r>
        <w:t xml:space="preserve">Special Education Schools</w:t>
      </w:r>
    </w:p>
    <w:p>
      <w:pPr>
        <w:pStyle w:val="FirstParagraph"/>
      </w:pPr>
      <w:r>
        <w:t xml:space="preserve">Special education schools provide training for the disabled aged 1 – 18 years old. Special education schools may be classified as: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Ambulatory</w:t>
      </w:r>
      <w:r>
        <w:t xml:space="preserve">: these schools are for the mentally challenged, visually handicapped, and the hearing impaired.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Non-ambulatory</w:t>
      </w:r>
      <w:r>
        <w:t xml:space="preserve">: these schools are for the orthopaedic impaired or multi-handicaps.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COS"/>
    </w:p>
    <w:p>
      <w:pPr>
        <w:pStyle w:val="BodyText"/>
      </w:pPr>
      <w:r>
        <w:t xml:space="preserve">Conversions to Special Education Schools</w:t>
      </w:r>
    </w:p>
    <w:bookmarkStart w:id="24" w:name="COS"/>
    <w:p>
      <w:pPr>
        <w:pStyle w:val="BodyText"/>
      </w:pPr>
      <w:r>
        <w:t xml:space="preserve">Conversions of properties to special education schools are evaluated depending on merits. Purpose-built special education schools are allowed on land zoned “Educational Institution”.</w:t>
      </w:r>
    </w:p>
    <w:p>
      <w:pPr>
        <w:pStyle w:val="BodyText"/>
      </w:pPr>
      <w:r>
        <w:t xml:space="preserve">All parameters and considerations applicable to other EI developments shall apply to special education schools except for those listed below.</w:t>
      </w:r>
    </w:p>
    <w:bookmarkStart w:id="23" w:name="COS1"/>
    <w:bookmarkEnd w:id="23"/>
    <w:bookmarkEnd w:id="24"/>
    <w:p>
      <w:pPr>
        <w:pStyle w:val="BodyText"/>
      </w:pPr>
      <w:hyperlink w:anchor="GPR"/>
    </w:p>
    <w:p>
      <w:pPr>
        <w:pStyle w:val="BodyText"/>
      </w:pPr>
      <w:r>
        <w:t xml:space="preserve">Gross Plot Ratio &amp; Building Height</w:t>
      </w:r>
    </w:p>
    <w:bookmarkStart w:id="27" w:name="GPR"/>
    <w:p>
      <w:pPr>
        <w:pStyle w:val="BodyText"/>
      </w:pPr>
      <w:hyperlink r:id="rId25">
        <w:r>
          <w:rPr>
            <w:rStyle w:val="Hyperlink"/>
          </w:rPr>
          <w:t xml:space="preserve">https://www.ura.gov.sg/-/media/Corporate/Guidelines/Development-control/Others/E05_Special_Education_Schools.jpg?h=100%25&amp;w=100%25</w:t>
        </w:r>
      </w:hyperlink>
    </w:p>
    <w:p>
      <w:pPr>
        <w:pStyle w:val="BodyText"/>
      </w:pPr>
      <w:r>
        <w:rPr>
          <w:i/>
          <w:iCs/>
        </w:rPr>
        <w:t xml:space="preserve">Building Height </w:t>
      </w:r>
    </w:p>
    <w:p>
      <w:pPr>
        <w:pStyle w:val="BodyText"/>
      </w:pPr>
      <w:r>
        <w:t xml:space="preserve">The allowable GPR for special education schools is 0.5 (minimum).</w:t>
      </w:r>
    </w:p>
    <w:p>
      <w:pPr>
        <w:pStyle w:val="BodyText"/>
      </w:pPr>
      <w:r>
        <w:t xml:space="preserve">The allowable number of storeys for ambulatory schools is 4 (maximum). The allowable number of storeys for non-ambulatory schools is 2 (maximum).</w:t>
      </w:r>
    </w:p>
    <w:p>
      <w:pPr>
        <w:pStyle w:val="BodyText"/>
      </w:pPr>
      <w:r>
        <w:t xml:space="preserve">The actual number of storeys allowed may vary, depending on the site topography and the context of the surrounding area.</w:t>
      </w:r>
    </w:p>
    <w:p>
      <w:pPr>
        <w:pStyle w:val="BodyText"/>
      </w:pPr>
      <w:r>
        <w:t xml:space="preserve">The allowable floor-to-floor height for special education schools is 5.0m (maximum).</w:t>
      </w:r>
    </w:p>
    <w:p>
      <w:pPr>
        <w:pStyle w:val="BodyText"/>
      </w:pPr>
      <w:r>
        <w:t xml:space="preserve">For mixed ambulatory and non-ambulatory school, the non-ambulatory facilities shall be sited on the lower floors to facilitate easier movements for the students.</w:t>
      </w:r>
    </w:p>
    <w:bookmarkStart w:id="26" w:name="GPR1"/>
    <w:bookmarkEnd w:id="26"/>
    <w:bookmarkEnd w:id="27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ura.gov.sg/-/media/Corporate/Guidelines/Development-control/Others/E05_Special_Education_Schools.jpg?h=100%25&amp;w=10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ura.gov.sg/-/media/Corporate/Guidelines/Development-control/Others/E05_Special_Education_Schools.jpg?h=100%25&amp;w=10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2024-05-23T09:32:04Z</dcterms:created>
  <dcterms:modified xsi:type="dcterms:W3CDTF">2024-05-23T09:32:04Z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