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
    <w:p>
      <w:pPr>
        <w:pStyle w:val="Heading3"/>
      </w:pPr>
      <w:r>
        <w:t xml:space="preserve">Gross Plot Ratio</w:t>
      </w:r>
    </w:p>
    <w:p>
      <w:pPr>
        <w:pStyle w:val="FirstParagraph"/>
      </w:pPr>
      <w:r>
        <w:t xml:space="preserve">The allowable Gross Plot Ratio (GPR) is subject to evaluation, taking into consideration the location, site context, topography, traffic situation, impact of the HMC development on the surroundings and other agencies’ requirements.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drawing>
          <wp:inline>
            <wp:extent cx="9525" cy="9525"/>
            <wp:effectExtent b="0" l="0" r="0" t="0"/>
            <wp:docPr descr="Gross Plot Ratio for sites where vesting is required"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2024-05-23T00:52:03Z</dcterms:created>
  <dcterms:modified xsi:type="dcterms:W3CDTF">2024-05-23T00:52:03Z</dcterms:modified>
</cp:coreProperties>
</file>

<file path=docProps/custom.xml><?xml version="1.0" encoding="utf-8"?>
<Properties xmlns="http://schemas.openxmlformats.org/officeDocument/2006/custom-properties" xmlns:vt="http://schemas.openxmlformats.org/officeDocument/2006/docPropsVTypes"/>
</file>