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0e44e33ce2bd3ec9b3924fb78fd9c528bb68518"/>
    <w:p>
      <w:pPr>
        <w:pStyle w:val="Heading3"/>
      </w:pPr>
      <w:r>
        <w:t xml:space="preserve">Private Medical Clinics in Non-HMC developments</w:t>
      </w:r>
    </w:p>
    <w:p>
      <w:pPr>
        <w:pStyle w:val="FirstParagraph"/>
      </w:pPr>
      <w:r>
        <w:t xml:space="preserve">Private medical clinics</w:t>
      </w:r>
      <w:r>
        <w:rPr>
          <w:vertAlign w:val="superscript"/>
        </w:rPr>
        <w:t xml:space="preserve">1</w:t>
      </w:r>
      <w:r>
        <w:t xml:space="preserve"> </w:t>
      </w:r>
      <w:r>
        <w:t xml:space="preserve">is an allowable use within commercial buildings. Such buildings refer to shopping and office developments approved on sites zoned Commercial or other commercial premises approved within the allowable commercial quantum of sites zoned Hotel, White, Commercial &amp; Residential, Residential with 1</w:t>
      </w:r>
      <w:r>
        <w:rPr>
          <w:vertAlign w:val="superscript"/>
        </w:rPr>
        <w:t xml:space="preserve">st</w:t>
      </w:r>
      <w:r>
        <w:t xml:space="preserve"> </w:t>
      </w:r>
      <w:r>
        <w:t xml:space="preserve">Storey Commercial, Business Park, and Business-White.</w:t>
      </w:r>
    </w:p>
    <w:p>
      <w:pPr>
        <w:pStyle w:val="BodyText"/>
      </w:pPr>
      <w:r>
        <w:t xml:space="preserve">These clinics may be allowed subject to the following conditions:</w:t>
      </w:r>
    </w:p>
    <w:p>
      <w:pPr>
        <w:pStyle w:val="Compact"/>
        <w:numPr>
          <w:ilvl w:val="0"/>
          <w:numId w:val="1001"/>
        </w:numPr>
      </w:pPr>
      <w:r>
        <w:t xml:space="preserve">The total GFA for medical clinics is capped at 3,000sqm or 20% of the total floor area approved for commercial use, whichever is lower.</w:t>
      </w:r>
    </w:p>
    <w:p>
      <w:pPr>
        <w:pStyle w:val="Compact"/>
        <w:numPr>
          <w:ilvl w:val="0"/>
          <w:numId w:val="1001"/>
        </w:numPr>
      </w:pPr>
      <w:r>
        <w:t xml:space="preserve">The 20% GFA cap does not apply to medical clinics located in shophouse developments and HDB shops where the 20% quantum limit would be too restrictive. The total GFA for medical clinic shall, however, not exceed 3,000sqm.</w:t>
      </w:r>
    </w:p>
    <w:p>
      <w:pPr>
        <w:pStyle w:val="FirstParagraph"/>
      </w:pPr>
      <w:r>
        <w:t xml:space="preserve">Planning permission is required for new private medical clinics in commercial buildings except in the following situations:</w:t>
      </w:r>
    </w:p>
    <w:p>
      <w:pPr>
        <w:pStyle w:val="Compact"/>
        <w:numPr>
          <w:ilvl w:val="0"/>
          <w:numId w:val="1002"/>
        </w:numPr>
      </w:pPr>
      <w:r>
        <w:t xml:space="preserve">The total medical clinic GFA in the development including the proposed clinic does not exceed 1,000sqm or 20% of the total commercial GFA of the development, whichever is lower.</w:t>
      </w:r>
    </w:p>
    <w:p>
      <w:pPr>
        <w:pStyle w:val="Compact"/>
        <w:numPr>
          <w:ilvl w:val="0"/>
          <w:numId w:val="1002"/>
        </w:numPr>
      </w:pPr>
      <w:r>
        <w:t xml:space="preserve">For shophouses and HDB shops, the total medical clinic GFA in the block including the proposed clinic does not exceed 1,000sqm, and HDB’s prior approval has been obtained.</w:t>
      </w:r>
    </w:p>
    <w:p>
      <w:pPr>
        <w:pStyle w:val="FirstParagraph"/>
      </w:pPr>
      <w:r>
        <w:t xml:space="preserve">Operators who wish to set up medical clinics shall write to MOH at</w:t>
      </w:r>
      <w:r>
        <w:t xml:space="preserve"> </w:t>
      </w:r>
      <w:hyperlink r:id="rId20">
        <w:r>
          <w:rPr>
            <w:rStyle w:val="Hyperlink"/>
          </w:rPr>
          <w:t xml:space="preserve">MOH_Check_GFA@moh.gov.sg</w:t>
        </w:r>
      </w:hyperlink>
      <w:r>
        <w:t xml:space="preserve"> </w:t>
      </w:r>
      <w:r>
        <w:t xml:space="preserve">to verify that the proposed clinic would qualify under the exemptions above, failing which they will need to submit a planning application to URA. Necessary clearances and permits from relevant licensing agencies, including MOH and Fire Safety and Shelter Department (FSSD) shall be obtained before commencing the use.</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r>
        <w:pict>
          <v:rect style="width:0;height:1.5pt" o:hralign="center" o:hrstd="t" o:hr="t"/>
        </w:pict>
      </w:r>
    </w:p>
    <w:p>
      <w:pPr>
        <w:pStyle w:val="FirstParagraph"/>
      </w:pPr>
      <w:r>
        <w:rPr>
          <w:i/>
          <w:iCs/>
        </w:rPr>
        <w:t xml:space="preserve">Last updated on 21 November 2022</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OH_Check_GFA@moh.gov.sg" TargetMode="External" /></Relationships>
</file>

<file path=word/_rels/footnotes.xml.rels><?xml version="1.0" encoding="UTF-8"?><Relationships xmlns="http://schemas.openxmlformats.org/package/2006/relationships"><Relationship Type="http://schemas.openxmlformats.org/officeDocument/2006/relationships/hyperlink" Id="rId20" Target="mailto:MOH_Check_GFA@moh.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