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quantum"/>
    <w:p>
      <w:pPr>
        <w:pStyle w:val="Heading3"/>
      </w:pPr>
      <w:r>
        <w:t xml:space="preserve">Use Quantum</w:t>
      </w:r>
    </w:p>
    <w:p>
      <w:pPr>
        <w:pStyle w:val="FirstParagraph"/>
      </w:pPr>
      <w:r>
        <w:t xml:space="preserve">At least 60% of the total proposed GFA shall be used for HMC purposes only. These predominant uses may include inpatient/outpatient facilities, medical clinics/suites</w:t>
      </w:r>
      <w:r>
        <w:rPr>
          <w:vertAlign w:val="superscript"/>
        </w:rPr>
        <w:t xml:space="preserve">1</w:t>
      </w:r>
      <w:r>
        <w:t xml:space="preserve">, diagnostic and treatment facilities, nursing bed areas, dispensaries, clinical research facilities, patient-facing administration spaces, etc.</w:t>
      </w:r>
    </w:p>
    <w:p>
      <w:pPr>
        <w:pStyle w:val="BodyText"/>
      </w:pPr>
      <w:r>
        <w:t xml:space="preserve">The remaining maximum 40% use quantum are for supporting or ancillary uses like nurses’ quarters, general administration and staff facilities.</w:t>
      </w:r>
    </w:p>
    <w:p>
      <w:pPr>
        <w:pStyle w:val="BodyText"/>
      </w:pPr>
      <w:r>
        <w:rPr>
          <w:vertAlign w:val="superscript"/>
        </w:rPr>
        <w:t xml:space="preserve">1</w:t>
      </w:r>
      <w:r>
        <w:t xml:space="preserve"> SLA may assess such medical clinics/suites based on Group A (Commercial) rate for the purpose of computing Land Betterment Charge, where applicable.</w:t>
      </w:r>
      <w:r>
        <w:t xml:space="preserve"> </w:t>
      </w:r>
    </w:p>
    <w:p>
      <w:pPr>
        <w:pStyle w:val="BodyText"/>
      </w:pPr>
      <w:r>
        <w:rPr>
          <w:b/>
          <w:bCs/>
        </w:rPr>
        <w:t xml:space="preserve">Use Quantum Control</w:t>
      </w:r>
    </w:p>
    <w:tbl>
      <w:tblPr>
        <w:tblStyle w:val="Table"/>
        <w:tblW w:type="auto" w:w="0"/>
        <w:tblLook w:firstRow="0" w:lastRow="0" w:firstColumn="0" w:lastColumn="0" w:noHBand="0" w:noVBand="0" w:val="0000"/>
      </w:tblPr>
      <w:tblGrid>
        <w:gridCol w:w="1980"/>
        <w:gridCol w:w="1980"/>
        <w:gridCol w:w="1980"/>
        <w:gridCol w:w="1980"/>
      </w:tblGrid>
      <w:tr>
        <w:tc>
          <w:tcPr>
            <w:vMerge w:val="restart"/>
          </w:tcPr>
          <w:p>
            <w:pPr>
              <w:pStyle w:val="Compact"/>
              <w:jc w:val="left"/>
            </w:pPr>
            <w:r>
              <w:rPr>
                <w:b/>
                <w:bCs/>
              </w:rPr>
              <w:t xml:space="preserve">Quantum Control</w:t>
            </w:r>
          </w:p>
        </w:tc>
        <w:tc>
          <w:tcPr/>
          <w:p>
            <w:pPr>
              <w:pStyle w:val="Compact"/>
              <w:jc w:val="center"/>
            </w:pPr>
            <w:r>
              <w:rPr>
                <w:b/>
                <w:bCs/>
              </w:rPr>
              <w:t xml:space="preserve">Predominant</w:t>
            </w:r>
          </w:p>
        </w:tc>
        <w:tc>
          <w:tcPr>
            <w:gridSpan w:val="2"/>
          </w:tcPr>
          <w:p>
            <w:pPr>
              <w:pStyle w:val="Compact"/>
              <w:jc w:val="center"/>
            </w:pPr>
            <w:r>
              <w:rPr>
                <w:b/>
                <w:bCs/>
              </w:rPr>
              <w:t xml:space="preserve">Ancillary</w:t>
            </w:r>
          </w:p>
        </w:tc>
      </w:tr>
      <w:tr>
        <w:tc>
          <w:tcPr>
            <w:gridSpan w:val="1"/>
            <w:vMerge w:val="continue"/>
          </w:tcPr>
          <w:p>
            <w:pPr/>
          </w:p>
        </w:tc>
        <w:tc>
          <w:tcPr/>
          <w:p>
            <w:pPr>
              <w:pStyle w:val="Compact"/>
              <w:jc w:val="center"/>
            </w:pPr>
            <w:r>
              <w:t xml:space="preserve">Minimum 60%</w:t>
            </w:r>
          </w:p>
        </w:tc>
        <w:tc>
          <w:tcPr>
            <w:gridSpan w:val="2"/>
          </w:tcPr>
          <w:p>
            <w:pPr>
              <w:pStyle w:val="Compact"/>
              <w:jc w:val="center"/>
            </w:pPr>
            <w:r>
              <w:t xml:space="preserve">Maximum 40%</w:t>
            </w:r>
          </w:p>
        </w:tc>
      </w:tr>
      <w:tr>
        <w:tc>
          <w:tcPr>
            <w:gridSpan w:val="1"/>
            <w:vMerge w:val="continue"/>
          </w:tcPr>
          <w:p>
            <w:pPr/>
          </w:p>
        </w:tc>
        <w:tc>
          <w:tcPr/>
          <w:p>
            <w:pPr>
              <w:pStyle w:val="Compact"/>
              <w:jc w:val="center"/>
            </w:pPr>
            <w:r>
              <w:t xml:space="preserve">-</w:t>
            </w:r>
          </w:p>
        </w:tc>
        <w:tc>
          <w:tcPr/>
          <w:p>
            <w:pPr>
              <w:pStyle w:val="Compact"/>
              <w:jc w:val="center"/>
            </w:pPr>
            <w:r>
              <w:t xml:space="preserve">Ancillary Visitors' Hostel</w:t>
            </w:r>
          </w:p>
        </w:tc>
        <w:tc>
          <w:tcPr/>
          <w:p>
            <w:pPr>
              <w:pStyle w:val="Compact"/>
              <w:jc w:val="center"/>
            </w:pPr>
            <w:r>
              <w:t xml:space="preserve">Supporting Commercial Uses</w:t>
            </w:r>
          </w:p>
        </w:tc>
      </w:tr>
      <w:tr>
        <w:tc>
          <w:tcPr>
            <w:gridSpan w:val="1"/>
            <w:vMerge w:val="continue"/>
          </w:tcPr>
          <w:p>
            <w:pPr/>
          </w:p>
        </w:tc>
        <w:tc>
          <w:tcPr/>
          <w:p>
            <w:pPr>
              <w:pStyle w:val="Compact"/>
              <w:jc w:val="center"/>
            </w:pPr>
            <w:r>
              <w:t xml:space="preserve">-</w:t>
            </w:r>
          </w:p>
        </w:tc>
        <w:tc>
          <w:tcPr/>
          <w:p>
            <w:pPr>
              <w:pStyle w:val="Compact"/>
              <w:jc w:val="center"/>
            </w:pPr>
            <w:r>
              <w:t xml:space="preserve">Maximum 10% of total GFA or 1,500sqm, whichever is lower</w:t>
            </w:r>
          </w:p>
        </w:tc>
        <w:tc>
          <w:tcPr/>
          <w:p>
            <w:pPr>
              <w:pStyle w:val="Compact"/>
              <w:jc w:val="center"/>
            </w:pPr>
            <w:r>
              <w:t xml:space="preserve">Maximum 5% of total GFA</w:t>
            </w:r>
          </w:p>
        </w:tc>
      </w:tr>
    </w:tbl>
    <w:p>
      <w:pPr>
        <w:pStyle w:val="BodyText"/>
      </w:pPr>
      <w:r>
        <w:br/>
      </w:r>
    </w:p>
    <w:p>
      <w:pPr>
        <w:pStyle w:val="BodyText"/>
      </w:pPr>
      <w:r>
        <w:t xml:space="preserve">Other supporting or ancillary uses may include Visitors’ Hostel or limited Commercial uses. Visitors’ hostels are meant for family members and companions of the patients and users of hospitals. The limited commercial uses are meant to support the hospital operations and functions. Their use quantum controls are as follows:</w:t>
      </w:r>
    </w:p>
    <w:bookmarkEnd w:id="20"/>
    <w:bookmarkStart w:id="22" w:name="column_0_right_1_txtTitle"/>
    <w:bookmarkStart w:id="21" w:name="section"/>
    <w:p>
      <w:pPr>
        <w:pStyle w:val="Heading3"/>
      </w:pPr>
    </w:p>
    <w:bookmarkEnd w:id="21"/>
    <w:bookmarkEnd w:id="22"/>
    <w:p>
      <w:pPr>
        <w:pStyle w:val="FirstParagraph"/>
      </w:pPr>
      <w:hyperlink w:anchor="Visitors-Hostels"/>
    </w:p>
    <w:p>
      <w:pPr>
        <w:pStyle w:val="BodyText"/>
      </w:pPr>
      <w:r>
        <w:t xml:space="preserve">Visitors’ Hostels</w:t>
      </w:r>
    </w:p>
    <w:bookmarkStart w:id="24" w:name="Visitors-Hostels"/>
    <w:p>
      <w:pPr>
        <w:pStyle w:val="Compact"/>
        <w:numPr>
          <w:ilvl w:val="0"/>
          <w:numId w:val="1001"/>
        </w:numPr>
      </w:pPr>
      <w:r>
        <w:t xml:space="preserve">The hostel shall not exceed 10% of the total proposed GFA or 1,500sqm, whichever is lower.</w:t>
      </w:r>
    </w:p>
    <w:p>
      <w:pPr>
        <w:pStyle w:val="Compact"/>
        <w:numPr>
          <w:ilvl w:val="0"/>
          <w:numId w:val="1001"/>
        </w:numPr>
      </w:pPr>
      <w:r>
        <w:t xml:space="preserve">SLA may assess such visitors' hostels based on Group B2 (Non-landed Residential) rate for the purpose of computing Land Betterment Charge, where applicable.</w:t>
      </w:r>
    </w:p>
    <w:p>
      <w:pPr>
        <w:pStyle w:val="Compact"/>
        <w:numPr>
          <w:ilvl w:val="0"/>
          <w:numId w:val="1001"/>
        </w:numPr>
      </w:pPr>
      <w:r>
        <w:t xml:space="preserve">A Letter of Undertaking (LOU) shall be provided by the applicant, declaring that the visitors’ hostel shall only be occupied by the family members and companions of the patients and outpatients of the hospital.</w:t>
      </w:r>
    </w:p>
    <w:bookmarkStart w:id="23" w:name="Visitors-Hostels1"/>
    <w:bookmarkEnd w:id="23"/>
    <w:bookmarkEnd w:id="24"/>
    <w:p>
      <w:pPr>
        <w:pStyle w:val="FirstParagraph"/>
      </w:pPr>
      <w:hyperlink w:anchor="Supporting-Commercial-Uses"/>
    </w:p>
    <w:p>
      <w:pPr>
        <w:pStyle w:val="BodyText"/>
      </w:pPr>
      <w:r>
        <w:t xml:space="preserve">Supporting Commercial Uses</w:t>
      </w:r>
    </w:p>
    <w:bookmarkStart w:id="26" w:name="Supporting-Commercial-Uses"/>
    <w:p>
      <w:pPr>
        <w:pStyle w:val="Compact"/>
        <w:numPr>
          <w:ilvl w:val="0"/>
          <w:numId w:val="1002"/>
        </w:numPr>
      </w:pPr>
      <w:r>
        <w:t xml:space="preserve">Supporting commercial uses such as retail pharmacies, shops, F&amp;B outlets, food court, banks etc shall not exceed 5% of the total proposed GFA. The actual commercial quantum allowable shall be subject to planning consideration depending on the location, site condition, site context, impact on the surrounding area and requirements of other government agencies.</w:t>
      </w:r>
    </w:p>
    <w:p>
      <w:pPr>
        <w:pStyle w:val="Compact"/>
        <w:numPr>
          <w:ilvl w:val="0"/>
          <w:numId w:val="1002"/>
        </w:numPr>
      </w:pPr>
      <w:r>
        <w:t xml:space="preserve">SLA may assess such supporting commercial uses based on Group A (Commercial) rate for the purpose of computing Land Betterment Charge, where applicable.</w:t>
      </w:r>
    </w:p>
    <w:bookmarkStart w:id="25" w:name="Supporting-Commercial-Uses1"/>
    <w:bookmarkEnd w:id="25"/>
    <w:bookmarkEnd w:id="26"/>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2024-05-23T00:52:05Z</dcterms:created>
  <dcterms:modified xsi:type="dcterms:W3CDTF">2024-05-23T00:52:05Z</dcterms:modified>
</cp:coreProperties>
</file>

<file path=docProps/custom.xml><?xml version="1.0" encoding="utf-8"?>
<Properties xmlns="http://schemas.openxmlformats.org/officeDocument/2006/custom-properties" xmlns:vt="http://schemas.openxmlformats.org/officeDocument/2006/docPropsVTypes"/>
</file>