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6" w:name="Submission"/>
    <w:p>
      <w:pPr>
        <w:pStyle w:val="BodyText"/>
      </w:pPr>
      <w:r>
        <w:t xml:space="preserve">Hospitals with expected high pedestrian and cyclist traffic are required to provide 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https://www.ura.gov.sg/-/media/Corporate/Guidelines/Development-control/Others/WCP.jpg</w:t>
        </w:r>
      </w:hyperlink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4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5" w:name="Submission1"/>
    <w:bookmarkEnd w:id="25"/>
    <w:bookmarkEnd w:id="26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0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</w:t>
      </w:r>
      <w:r>
        <w:t xml:space="preserve"> </w:t>
      </w:r>
      <w:hyperlink r:id="rId27">
        <w:r>
          <w:rPr>
            <w:rStyle w:val="Hyperlink"/>
          </w:rPr>
          <w:t xml:space="preserve">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9" w:name="Design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Relationship Type="http://schemas.openxmlformats.org/officeDocument/2006/relationships/hyperlink" Id="rId23" Target="https://www.ura.gov.sg/-/media/Corporate/Guidelines/Development-control/Others/WCP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Relationship Type="http://schemas.openxmlformats.org/officeDocument/2006/relationships/hyperlink" Id="rId23" Target="https://www.ura.gov.sg/-/media/Corporate/Guidelines/Development-control/Others/WCP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2024-05-23T09:32:16Z</dcterms:created>
  <dcterms:modified xsi:type="dcterms:W3CDTF">2024-05-23T09:32:16Z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