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onus-gfa-incentive-schemes"/>
    <w:p>
      <w:pPr>
        <w:pStyle w:val="Heading3"/>
      </w:pPr>
      <w:r>
        <w:t xml:space="preserve">Bonus GFA Incentive Schemes</w:t>
      </w:r>
    </w:p>
    <w:p>
      <w:pPr>
        <w:pStyle w:val="FirstParagraph"/>
      </w:pPr>
      <w:r>
        <w:t xml:space="preserve">Hotel developments are eligible for bonus GFA if they satisfy the requirements of the following incentive schemes:</w:t>
      </w:r>
    </w:p>
    <w:bookmarkEnd w:id="20"/>
    <w:bookmarkStart w:id="22" w:name="column_0_right_1_txtTitle"/>
    <w:bookmarkStart w:id="21" w:name="section"/>
    <w:p>
      <w:pPr>
        <w:pStyle w:val="Heading3"/>
      </w:pPr>
    </w:p>
    <w:bookmarkEnd w:id="21"/>
    <w:bookmarkEnd w:id="22"/>
    <w:p>
      <w:pPr>
        <w:pStyle w:val="FirstParagraph"/>
      </w:pPr>
      <w:hyperlink w:anchor="Balcony-Incentive-Scheme"/>
    </w:p>
    <w:p>
      <w:pPr>
        <w:pStyle w:val="BodyText"/>
      </w:pPr>
      <w:r>
        <w:t xml:space="preserve">Balcony Incentive Scheme</w:t>
      </w:r>
    </w:p>
    <w:bookmarkStart w:id="26" w:name="Balcony-Incentive-Scheme"/>
    <w:p>
      <w:pPr>
        <w:pStyle w:val="BodyText"/>
      </w:pPr>
      <w:r>
        <w:t xml:space="preserve">The GFA of balconies in hotel developments may be computed over and above the Master MP allowable GPR, subject to a cap of 10% inclusive of planter boxes, if any. The additional GPR may only be used for balcony GFA and shall not form the future development potential of the site upon redevelopment. The additional balcony GFA may be subject to SLA levying Land Betterment Charge, where applicable. When submitting development proposals with balconies, the QP is required to demarcate the balcony area clearly on the Calculation Plan and declare the total balcony area that exceeds the MP allowable GPR.</w:t>
      </w:r>
    </w:p>
    <w:p>
      <w:pPr>
        <w:pStyle w:val="BodyText"/>
      </w:pPr>
      <w:r>
        <w:t xml:space="preserve">Existing developments whose GPR have exceeded the Master Plan intensity may qualify for the additional balcony GFA, subject to a cap of 10% of the existing and approved GPR inclusive of planter boxes, if any. This does not apply to existing developments whose building form, height or use are not in accordance with the planning intention of the Master Plan, Building Height Plan or Special and Detailed Control Plan.</w:t>
      </w:r>
    </w:p>
    <w:p>
      <w:pPr>
        <w:pStyle w:val="BodyText"/>
      </w:pPr>
      <w:r>
        <w:t xml:space="preserve">Balcony designs shall adhere to the following guidelines and submission requirements: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t xml:space="preserve">Balconies shall be located away from M&amp;E areas to safeguard the quality and usability of these spaces.</w:t>
            </w:r>
          </w:p>
        </w:tc>
      </w:tr>
      <w:tr>
        <w:tc>
          <w:tcPr/>
          <w:p>
            <w:pPr>
              <w:pStyle w:val="Compact"/>
              <w:jc w:val="left"/>
            </w:pPr>
            <w:r>
              <w:rPr>
                <w:b/>
                <w:bCs/>
              </w:rPr>
              <w:t xml:space="preserve">Openness</w:t>
            </w:r>
          </w:p>
        </w:tc>
        <w:tc>
          <w:tcPr/>
          <w:p>
            <w:pPr>
              <w:pStyle w:val="Compact"/>
              <w:jc w:val="left"/>
            </w:pPr>
            <w:r>
              <w:t xml:space="preserve">Balconies shall have a continuous perimeter opening of at least 40%.</w:t>
            </w:r>
            <w:r>
              <w:br/>
            </w:r>
            <w:hyperlink r:id="rId23">
              <w:r>
                <w:rPr>
                  <w:rStyle w:val="Hyperlink"/>
                </w:rPr>
                <w:t xml:space="preserve">https://www.ura.gov.sg/-/media/Corporate/Guidelines/Development-control/Flats-Condominiums/F07_Balcony_Perimeter_Opening.jpg</w:t>
              </w:r>
            </w:hyperlink>
            <w:r>
              <w:br/>
            </w:r>
            <w:r>
              <w:br/>
            </w:r>
            <w:r>
              <w:rPr>
                <w:i/>
                <w:iCs/>
              </w:rPr>
              <w:t xml:space="preserve">Balcony Perimeter Opening</w:t>
            </w:r>
            <w:r>
              <w:br/>
            </w:r>
            <w:r>
              <w:br/>
            </w:r>
            <w:r>
              <w:t xml:space="preserve">The portions of a balcony that face a parapet wall (eg a wall between the balconies of two adjoining units) not exceeding 1.3m in height are considered “open”.</w:t>
            </w:r>
            <w:r>
              <w:br/>
            </w:r>
            <w:r>
              <w:br/>
            </w:r>
            <w:r>
              <w:t xml:space="preserve">The QP shall show the computation of perimeter opening for the proposed balconies on the floor plans.</w:t>
            </w:r>
          </w:p>
        </w:tc>
      </w:tr>
      <w:tr>
        <w:tc>
          <w:tcPr/>
          <w:p>
            <w:pPr>
              <w:pStyle w:val="Compact"/>
              <w:jc w:val="left"/>
            </w:pPr>
            <w:r>
              <w:rPr>
                <w:b/>
                <w:bCs/>
              </w:rPr>
              <w:t xml:space="preserve">Screen</w:t>
            </w:r>
          </w:p>
        </w:tc>
        <w:tc>
          <w:tcPr/>
          <w:p>
            <w:pPr>
              <w:pStyle w:val="Compact"/>
              <w:numPr>
                <w:ilvl w:val="0"/>
                <w:numId w:val="1001"/>
              </w:numPr>
              <w:jc w:val="left"/>
            </w:pPr>
            <w:r>
              <w:t xml:space="preserve">Balconies shall not be enclosed with walls or glass panels as balconies are meant to be semi-outdoor spaces. Balcony screens may can be allowed provided:</w:t>
            </w:r>
          </w:p>
          <w:p>
            <w:pPr>
              <w:pStyle w:val="Compact"/>
              <w:numPr>
                <w:ilvl w:val="1"/>
                <w:numId w:val="1002"/>
              </w:numPr>
              <w:jc w:val="left"/>
            </w:pPr>
            <w:r>
              <w:t xml:space="preserve">The balcony screens can be drawn open or retracted fully; and</w:t>
            </w:r>
          </w:p>
          <w:p>
            <w:pPr>
              <w:pStyle w:val="Compact"/>
              <w:numPr>
                <w:ilvl w:val="1"/>
                <w:numId w:val="1002"/>
              </w:numPr>
              <w:jc w:val="left"/>
            </w:pPr>
            <w:r>
              <w:t xml:space="preserve">The balcony screens allow for natural ventilation/air flow within the balcony at all times, even when the screens are fully drawn.</w:t>
            </w:r>
          </w:p>
          <w:p>
            <w:pPr>
              <w:pStyle w:val="Compact"/>
              <w:numPr>
                <w:ilvl w:val="0"/>
                <w:numId w:val="1001"/>
              </w:numPr>
              <w:jc w:val="left"/>
            </w:pPr>
            <w:r>
              <w:t xml:space="preserve">Balcony screens shall be designed upfront and approved as part of the Development Application process for all new hotel developments with proposed balconies (including the hotel component of mixed-use developments). Developers may propose a single screen design or a few designs.</w:t>
            </w:r>
          </w:p>
          <w:p>
            <w:pPr>
              <w:pStyle w:val="Compact"/>
              <w:numPr>
                <w:ilvl w:val="0"/>
                <w:numId w:val="1001"/>
              </w:numPr>
              <w:jc w:val="left"/>
            </w:pPr>
            <w:r>
              <w:t xml:space="preserve">Developers shall provide a Letter of Undertaking to be submitted at the Development Application Stage, downloadable via the following</w:t>
            </w:r>
            <w:r>
              <w:t xml:space="preserve"> </w:t>
            </w:r>
            <w:hyperlink r:id="rId24">
              <w:r>
                <w:rPr>
                  <w:rStyle w:val="Hyperlink"/>
                </w:rPr>
                <w:t xml:space="preserve">link</w:t>
              </w:r>
            </w:hyperlink>
            <w:r>
              <w:t xml:space="preserve"> </w:t>
            </w:r>
            <w:r>
              <w:t xml:space="preserve">(PDF, 351 KB).</w:t>
            </w:r>
          </w:p>
          <w:p>
            <w:pPr>
              <w:pStyle w:val="Compact"/>
              <w:numPr>
                <w:ilvl w:val="0"/>
                <w:numId w:val="1001"/>
              </w:numPr>
              <w:jc w:val="left"/>
            </w:pPr>
            <w:r>
              <w:t xml:space="preserve">The plans shall show the balcony screens in elevation view; one view fully retracted and another view fully closed with a fully retracted view in a plan view. The porosity of the balcony screen shall be annotated, and if the screening is louvred, the individual slats shall be fixed (ie not adjustable). Section cuts of the louvres shall be provided to show that the screening is naturally ventilated at all times, even when closed.</w:t>
            </w:r>
          </w:p>
          <w:p>
            <w:pPr>
              <w:pStyle w:val="Compact"/>
              <w:numPr>
                <w:ilvl w:val="0"/>
                <w:numId w:val="1001"/>
              </w:numPr>
              <w:jc w:val="left"/>
            </w:pPr>
            <w:r>
              <w:t xml:space="preserve">For existing developments without balcony screens, screens may be installed provided they fulfil the performance criteria above. Safety grilles are not considered as balcony screens, and such installation does not require planning approval.</w:t>
            </w:r>
          </w:p>
        </w:tc>
      </w:tr>
    </w:tbl>
    <w:bookmarkStart w:id="25" w:name="Balcony-Incentive-Scheme1"/>
    <w:bookmarkEnd w:id="25"/>
    <w:bookmarkEnd w:id="26"/>
    <w:p>
      <w:pPr>
        <w:pStyle w:val="FirstParagraph"/>
      </w:pPr>
      <w:hyperlink w:anchor="Rooftop-ORA"/>
    </w:p>
    <w:p>
      <w:pPr>
        <w:pStyle w:val="BodyText"/>
      </w:pPr>
      <w:r>
        <w:t xml:space="preserve">Rooftop ORA on Landscaped Roofs</w:t>
      </w:r>
    </w:p>
    <w:bookmarkStart w:id="29" w:name="Rooftop-ORA"/>
    <w:p>
      <w:pPr>
        <w:pStyle w:val="BodyText"/>
      </w:pPr>
      <w:r>
        <w:t xml:space="preserve">Refer to the section on</w:t>
      </w:r>
      <w:r>
        <w:t xml:space="preserve"> </w:t>
      </w:r>
      <w:hyperlink r:id="rId27">
        <w:r>
          <w:rPr>
            <w:rStyle w:val="Hyperlink"/>
          </w:rPr>
          <w:t xml:space="preserve">Greenery</w:t>
        </w:r>
      </w:hyperlink>
      <w:r>
        <w:t xml:space="preserve">.</w:t>
      </w:r>
    </w:p>
    <w:bookmarkStart w:id="28" w:name="Rooftop-ORA1"/>
    <w:bookmarkEnd w:id="28"/>
    <w:bookmarkEnd w:id="29"/>
    <w:p>
      <w:pPr>
        <w:pStyle w:val="BodyText"/>
      </w:pPr>
      <w:hyperlink w:anchor="Built-Environment-Transformation-Scheme"/>
    </w:p>
    <w:p>
      <w:pPr>
        <w:pStyle w:val="BodyText"/>
      </w:pPr>
      <w:r>
        <w:t xml:space="preserve">Built Environment Transformation Scheme</w:t>
      </w:r>
    </w:p>
    <w:bookmarkStart w:id="45" w:name="Built-Environment-Transformation-Scheme"/>
    <w:p>
      <w:pPr>
        <w:pStyle w:val="BodyText"/>
      </w:pPr>
      <w:r>
        <w:t xml:space="preserve">The Built Environment (BE) Transformation GFA scheme aims to encourage adoption of higher tier Construction Industry Transformation Map (ITM) outcomes in areas of digitisation, productivity and sustainability. The incentive scheme is jointly administered by BCA and URA. Applicants may qualify for the scheme by adopting stipulated ITM outcomes as part of the development proposal. </w:t>
      </w:r>
    </w:p>
    <w:bookmarkStart w:id="44" w:name="Built-Environment-Transformation-Scheme1"/>
    <w:p>
      <w:pPr>
        <w:pStyle w:val="BodyText"/>
      </w:pPr>
      <w:hyperlink w:anchor="BE-Eligibility"/>
    </w:p>
    <w:bookmarkStart w:id="30" w:name="eligibility"/>
    <w:p>
      <w:pPr>
        <w:pStyle w:val="Heading4"/>
      </w:pPr>
      <w:r>
        <w:t xml:space="preserve">Eligibility</w:t>
      </w:r>
    </w:p>
    <w:bookmarkEnd w:id="30"/>
    <w:bookmarkStart w:id="32" w:name="BE-Eligibility"/>
    <w:p>
      <w:pPr>
        <w:pStyle w:val="FirstParagraph"/>
      </w:pPr>
      <w:r>
        <w:t xml:space="preserve">The incentive is applicable for new erection or major Addition &amp; Alterations to private sites of at least 5000sqm GFA</w:t>
      </w:r>
      <w:r>
        <w:rPr>
          <w:vertAlign w:val="superscript"/>
        </w:rPr>
        <w:t xml:space="preserve">1</w:t>
      </w:r>
      <w:r>
        <w:t xml:space="preserve">. Sites launched under the Government Land Sales (GLS) programme prior to 31 March 2022 may also be eligible for the incentive scheme.</w:t>
      </w:r>
    </w:p>
    <w:p>
      <w:pPr>
        <w:pStyle w:val="BodyText"/>
      </w:pPr>
      <w:r>
        <w:t xml:space="preserve">The types of developments eligible for the incentive scheme are as follows:</w:t>
      </w:r>
    </w:p>
    <w:p>
      <w:pPr>
        <w:pStyle w:val="BodyText"/>
      </w:pPr>
      <w:r>
        <w:br/>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Residential</w:t>
            </w:r>
            <w:hyperlink r:id="rId31">
              <w:r>
                <w:rPr>
                  <w:rStyle w:val="Hyperlink"/>
                  <w:vertAlign w:val="superscript"/>
                </w:rPr>
                <w:t xml:space="preserve">2</w:t>
              </w:r>
            </w:hyperlink>
            <w:r>
              <w:br/>
            </w:r>
          </w:p>
        </w:tc>
        <w:tc>
          <w:tcPr/>
          <w:p>
            <w:pPr>
              <w:pStyle w:val="Compact"/>
              <w:jc w:val="left"/>
            </w:pPr>
            <w:r>
              <w:t xml:space="preserve">Condominium and Flats development </w:t>
            </w:r>
            <w:r>
              <w:t xml:space="preserve"> </w:t>
            </w:r>
          </w:p>
        </w:tc>
      </w:tr>
      <w:tr>
        <w:tc>
          <w:tcPr/>
          <w:p>
            <w:pPr>
              <w:pStyle w:val="Compact"/>
              <w:jc w:val="left"/>
            </w:pPr>
            <w:r>
              <w:t xml:space="preserve">Non- Residential</w:t>
            </w:r>
          </w:p>
        </w:tc>
        <w:tc>
          <w:tcPr/>
          <w:p>
            <w:pPr>
              <w:pStyle w:val="Compact"/>
              <w:jc w:val="left"/>
            </w:pPr>
            <w:r>
              <w:t xml:space="preserve">Commercial, Industrial and Institutional developments, such as office, retail, business parks, community building, hotel, hospital or white site developments </w:t>
            </w:r>
            <w:r>
              <w:br/>
            </w:r>
          </w:p>
        </w:tc>
      </w:tr>
      <w:tr>
        <w:tc>
          <w:tcPr/>
          <w:p>
            <w:pPr>
              <w:pStyle w:val="Compact"/>
              <w:jc w:val="left"/>
            </w:pPr>
            <w:r>
              <w:t xml:space="preserve">Mixed use</w:t>
            </w:r>
          </w:p>
        </w:tc>
        <w:tc>
          <w:tcPr/>
          <w:p>
            <w:pPr>
              <w:pStyle w:val="Compact"/>
              <w:jc w:val="left"/>
            </w:pPr>
            <w:r>
              <w:t xml:space="preserve">Combination of the above </w:t>
            </w:r>
            <w:r>
              <w:br/>
            </w:r>
          </w:p>
        </w:tc>
      </w:tr>
    </w:tbl>
    <w:p>
      <w:pPr>
        <w:pStyle w:val="BodyText"/>
      </w:pPr>
      <w:r>
        <w:br/>
      </w:r>
    </w:p>
    <w:p>
      <w:r>
        <w:pict>
          <v:rect style="width:0;height:1.5pt" o:hralign="center" o:hrstd="t" o:hr="t"/>
        </w:pict>
      </w:r>
    </w:p>
    <w:p>
      <w:pPr>
        <w:pStyle w:val="FirstParagraph"/>
      </w:pPr>
      <w:r>
        <w:rPr>
          <w:vertAlign w:val="superscript"/>
        </w:rPr>
        <w:t xml:space="preserve">1</w:t>
      </w:r>
      <w:r>
        <w:t xml:space="preserve">Smaller developments of less than 5,000 sqm GFA may be considered on a case-by-case basis if agencies determine that sizeable productivity and sustainability outcomes relative to the development proposal can be achieved based on BE ITM measures proposed by the developers.</w:t>
      </w:r>
    </w:p>
    <w:p>
      <w:pPr>
        <w:pStyle w:val="BodyText"/>
      </w:pPr>
      <w:r>
        <w:rPr>
          <w:vertAlign w:val="superscript"/>
        </w:rPr>
        <w:t xml:space="preserve">2</w:t>
      </w:r>
      <w:r>
        <w:t xml:space="preserve">The maximum allowable number of dwelling units for residential developments located outside of Central Area is derived from the Master Plan permissible intensity, which excludes any bonus GFA the site is eligible for.</w:t>
      </w:r>
    </w:p>
    <w:bookmarkEnd w:id="32"/>
    <w:p>
      <w:pPr>
        <w:pStyle w:val="BodyText"/>
      </w:pPr>
      <w:hyperlink w:anchor="Quantum-of-bonus-GFA-allowed"/>
    </w:p>
    <w:bookmarkStart w:id="33" w:name="quantum-of-bonus-gfa-allowed"/>
    <w:p>
      <w:pPr>
        <w:pStyle w:val="Heading4"/>
      </w:pPr>
      <w:r>
        <w:t xml:space="preserve">Quantum of bonus GFA allowed</w:t>
      </w:r>
    </w:p>
    <w:bookmarkEnd w:id="33"/>
    <w:bookmarkStart w:id="35" w:name="Quantum-of-bonus-GFA-allowed"/>
    <w:p>
      <w:pPr>
        <w:pStyle w:val="FirstParagraph"/>
      </w:pPr>
      <w:r>
        <w:t xml:space="preserve">Private sites may be granted up to 3% bonus GFA under the scheme</w:t>
      </w:r>
      <w:r>
        <w:rPr>
          <w:vertAlign w:val="superscript"/>
        </w:rPr>
        <w:t xml:space="preserve">3</w:t>
      </w:r>
      <w:r>
        <w:t xml:space="preserve">. The scheme is applicable for new proposals till 23 November 2026.</w:t>
      </w:r>
      <w:r>
        <w:t xml:space="preserve"> </w:t>
      </w:r>
    </w:p>
    <w:p>
      <w:pPr>
        <w:pStyle w:val="BodyText"/>
      </w:pPr>
      <w:r>
        <w:t xml:space="preserve">GLS sites are eligible up to 2% bonus GFA. The scheme is applicable for new GLS launched prior to 31 March 2022.</w:t>
      </w:r>
      <w:r>
        <w:t xml:space="preserve"> </w:t>
      </w:r>
    </w:p>
    <w:p>
      <w:pPr>
        <w:pStyle w:val="BodyText"/>
      </w:pPr>
      <w:r>
        <w:t xml:space="preserve">The cumulative bonus GFA shall be kept within the overall budget of 10% above the Master Plan Gross Plot Ratio (GPR), or the maximum allowable GFA of the development. It shall not form the future development potential of the site upon redevelopment. </w:t>
      </w:r>
      <w:r>
        <w:t xml:space="preserve"> </w:t>
      </w:r>
    </w:p>
    <w:p>
      <w:pPr>
        <w:pStyle w:val="BodyText"/>
      </w:pPr>
      <w:r>
        <w:t xml:space="preserve"> </w:t>
      </w:r>
    </w:p>
    <w:p>
      <w:pPr>
        <w:pStyle w:val="BodyText"/>
      </w:pPr>
      <w:r>
        <w:t xml:space="preserve">The quantum of allowable bonus GFA under the BE Transformation Scheme is based on the proposed uses, use quantum that complies with the Master Plan zoning, and any additional requirements imposed as part of the endorsement for the bonus GFA. </w:t>
      </w:r>
    </w:p>
    <w:p>
      <w:pPr>
        <w:pStyle w:val="BodyText"/>
      </w:pPr>
      <w:r>
        <w:t xml:space="preserve">Should development proposals fall within areas with specific planning considerations (e.g. storey height controls) or are unable to fully accommodate the additional intensity due to on-site conditions (e.g. areas with traffic concerns), the bonus GFA under the BE Transformation Scheme that can be approved may be lower than the endorsed quantum, and/or the bonus GFA may be limited to a particular use or uses.</w:t>
      </w:r>
    </w:p>
    <w:p>
      <w:r>
        <w:pict>
          <v:rect style="width:0;height:1.5pt" o:hralign="center" o:hrstd="t" o:hr="t"/>
        </w:pict>
      </w:r>
    </w:p>
    <w:bookmarkStart w:id="34" w:name="ftn1"/>
    <w:bookmarkEnd w:id="34"/>
    <w:p>
      <w:pPr>
        <w:pStyle w:val="FirstParagraph"/>
      </w:pPr>
      <w:r>
        <w:rPr>
          <w:vertAlign w:val="superscript"/>
        </w:rPr>
        <w:t xml:space="preserve">3</w:t>
      </w:r>
      <w:r>
        <w:t xml:space="preserve">Applications submitted under the Strategic Development Incentive (SDI) and Central Business District (CBD) incentive schemes will have to comply with stipulated outcomes in the areas of digitalisation, productivity and sustainability. The required ITM outcomes will be separately assessed in relation to the context of the proposal, upon submission of the outline application for the SDI/CBDI development proposal. ITM outcomes will be imposed as conditions for planning approval for redevelopment proposals via the SDI/CBD Incentive scheme. SDI/CBDI proposals will not qualify for the additional GFA under the BE Transformation Gross Floor Area Incentive Scheme.</w:t>
      </w:r>
    </w:p>
    <w:p>
      <w:pPr>
        <w:pStyle w:val="BodyText"/>
      </w:pPr>
      <w:r>
        <w:t xml:space="preserve"> </w:t>
      </w:r>
    </w:p>
    <w:bookmarkEnd w:id="35"/>
    <w:p>
      <w:pPr>
        <w:pStyle w:val="BodyText"/>
      </w:pPr>
      <w:hyperlink w:anchor="BE-Submission"/>
    </w:p>
    <w:bookmarkStart w:id="36" w:name="submission"/>
    <w:p>
      <w:pPr>
        <w:pStyle w:val="Heading4"/>
      </w:pPr>
      <w:r>
        <w:t xml:space="preserve">Submission</w:t>
      </w:r>
    </w:p>
    <w:bookmarkEnd w:id="36"/>
    <w:bookmarkStart w:id="40" w:name="BE-Submission"/>
    <w:p>
      <w:pPr>
        <w:pStyle w:val="FirstParagraph"/>
      </w:pPr>
      <w:r>
        <w:t xml:space="preserve">Applicants are to submit an application to BCA with supporting documents on the proposed ITM outcome concept plan and detail the proposed ITM outcome to be adopted for the development proposal. The submission can be made at this</w:t>
      </w:r>
      <w:r>
        <w:t xml:space="preserve"> </w:t>
      </w:r>
      <w:hyperlink r:id="rId37">
        <w:r>
          <w:rPr>
            <w:rStyle w:val="Hyperlink"/>
          </w:rPr>
          <w:t xml:space="preserve">link</w:t>
        </w:r>
      </w:hyperlink>
      <w:r>
        <w:t xml:space="preserve">. </w:t>
      </w:r>
    </w:p>
    <w:p>
      <w:pPr>
        <w:pStyle w:val="BodyText"/>
      </w:pPr>
      <w:r>
        <w:t xml:space="preserve">Following BCA’s grant of letter of acceptance, applicants shall submit the development proposal with the proposed quantum and use group of the proposed bonus BE Transformation GFA to URA, for detailed assessment. The development application shall be submitted within 6 months from BCA’s grant of Letter of Acceptance, and shall include a copy of the Letter of Acceptance, and the</w:t>
      </w:r>
      <w:r>
        <w:t xml:space="preserve"> </w:t>
      </w:r>
      <w:hyperlink r:id="rId38">
        <w:r>
          <w:rPr>
            <w:rStyle w:val="Hyperlink"/>
          </w:rPr>
          <w:t xml:space="preserve">BE Transformation GFA computation form</w:t>
        </w:r>
      </w:hyperlink>
      <w:r>
        <w:t xml:space="preserve">. The submission process and verification of ITM outcomes is summarised at this</w:t>
      </w:r>
      <w:r>
        <w:t xml:space="preserve"> </w:t>
      </w:r>
      <w:hyperlink r:id="rId39">
        <w:r>
          <w:rPr>
            <w:rStyle w:val="Hyperlink"/>
          </w:rPr>
          <w:t xml:space="preserve">link</w:t>
        </w:r>
      </w:hyperlink>
      <w:r>
        <w:t xml:space="preserve">.</w:t>
      </w:r>
    </w:p>
    <w:bookmarkEnd w:id="40"/>
    <w:p>
      <w:pPr>
        <w:pStyle w:val="BodyText"/>
      </w:pPr>
      <w:hyperlink w:anchor="Xebaf602d1b24a74da11e2aacd019e31f2216fc1"/>
    </w:p>
    <w:bookmarkStart w:id="41" w:name="Xf9349beca6db91f17f351ef983e7a6f1ed398c1"/>
    <w:p>
      <w:pPr>
        <w:pStyle w:val="Heading4"/>
      </w:pPr>
      <w:r>
        <w:t xml:space="preserve">Requirements on ITM Outcomes for Bonus BE Transformation GFA</w:t>
      </w:r>
    </w:p>
    <w:bookmarkEnd w:id="41"/>
    <w:bookmarkStart w:id="43" w:name="Xebaf602d1b24a74da11e2aacd019e31f2216fc1"/>
    <w:p>
      <w:pPr>
        <w:pStyle w:val="FirstParagraph"/>
      </w:pPr>
      <w:r>
        <w:t xml:space="preserve">Applicants are to comply with BE ITM outcomes for the bonus scheme based on the</w:t>
      </w:r>
      <w:r>
        <w:t xml:space="preserve"> </w:t>
      </w:r>
      <w:hyperlink r:id="rId42">
        <w:r>
          <w:rPr>
            <w:rStyle w:val="Hyperlink"/>
          </w:rPr>
          <w:t xml:space="preserve">building type</w:t>
        </w:r>
      </w:hyperlink>
      <w:r>
        <w:t xml:space="preserve">. The specific requirements for the development proposal will be shared in detail as part of the application process to BCA for the Letter of Acceptance.</w:t>
      </w:r>
    </w:p>
    <w:bookmarkEnd w:id="43"/>
    <w:bookmarkEnd w:id="44"/>
    <w:bookmarkEnd w:id="45"/>
    <w:p>
      <w:pPr>
        <w:pStyle w:val="BodyText"/>
      </w:pPr>
      <w:hyperlink w:anchor="X0b099345e62314b3b63f57f954f98c08d1530cb"/>
    </w:p>
    <w:p>
      <w:pPr>
        <w:pStyle w:val="BodyText"/>
      </w:pPr>
      <w:r>
        <w:t xml:space="preserve">ORA within Privately-Owned Public Spaces (POPS)</w:t>
      </w:r>
    </w:p>
    <w:bookmarkStart w:id="48" w:name="X0b099345e62314b3b63f57f954f98c08d1530cb"/>
    <w:p>
      <w:pPr>
        <w:pStyle w:val="BodyText"/>
      </w:pPr>
      <w:r>
        <w:t xml:space="preserve">Refer to section on</w:t>
      </w:r>
      <w:r>
        <w:t xml:space="preserve"> </w:t>
      </w:r>
      <w:hyperlink r:id="rId46">
        <w:r>
          <w:rPr>
            <w:rStyle w:val="Hyperlink"/>
          </w:rPr>
          <w:t xml:space="preserve">POPS</w:t>
        </w:r>
      </w:hyperlink>
      <w:r>
        <w:t xml:space="preserve">.</w:t>
      </w:r>
    </w:p>
    <w:p>
      <w:pPr>
        <w:pStyle w:val="BodyText"/>
      </w:pPr>
      <w:r>
        <w:t xml:space="preserve"> </w:t>
      </w:r>
    </w:p>
    <w:bookmarkStart w:id="47" w:name="Xefa78eb8983c7d4b613dbdab5b6fc50f3e6bb17"/>
    <w:bookmarkEnd w:id="47"/>
    <w:bookmarkEnd w:id="48"/>
    <w:p>
      <w:pPr>
        <w:pStyle w:val="BodyText"/>
      </w:pPr>
      <w:r>
        <w:t xml:space="preserve">Hotel developments may make use of any combination of the bonus GFA incentive schemes (ie Balcony Incentive Scheme and Rooftop ORA on Landscaped Roofs), as long as the cumulative bonus GFA does not exceed the overall cap of 10% above the MP GPR.</w:t>
      </w:r>
    </w:p>
    <w:p>
      <w:pPr>
        <w:pStyle w:val="BodyText"/>
      </w:pPr>
      <w:r>
        <w:t xml:space="preserve">The bonus GFA allowed under the bonus incentive schemes is over and above the MP GPR and is subject to a maximum of 10% of the MP GPR. When the site is redeveloped in future, the additional GFA already used under the bonus GFA incentive schemes cannot be carried over. In other words, the GPR for the site shall revert to the GPR specified in the prevailing MP.</w:t>
      </w:r>
    </w:p>
    <w:p>
      <w:r>
        <w:pict>
          <v:rect style="width:0;height:1.5pt" o:hralign="center" o:hrstd="t" o:hr="t"/>
        </w:pict>
      </w:r>
    </w:p>
    <w:p>
      <w:pPr>
        <w:pStyle w:val="FirstParagraph"/>
      </w:pPr>
      <w:r>
        <w:rPr>
          <w:i/>
          <w:iCs/>
        </w:rPr>
        <w:t xml:space="preserve">Last updated on 21 November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file:///C:/Users/urawongyq/Documents/My%20documents/Updates/Flats%20and%20Condominiums%20-%20draft%20edit.docx#_ftn1" TargetMode="External" /><Relationship Type="http://schemas.openxmlformats.org/officeDocument/2006/relationships/hyperlink" Id="rId37" Target="https://form.gov.sg/610112199bdc0c00123abb25" TargetMode="External" /><Relationship Type="http://schemas.openxmlformats.org/officeDocument/2006/relationships/hyperlink" Id="rId24" Target="https://www.ura.gov.sg/-/media/Corporate/Guidelines/Development-control/Circulars/2018/Oct/dc18-07/dc18-07-App2.pdf" TargetMode="External" /><Relationship Type="http://schemas.openxmlformats.org/officeDocument/2006/relationships/hyperlink" Id="rId38" Target="https://www.ura.gov.sg/-/media/Corporate/Guidelines/Development-control/Flats-Condominiums/BE-Transformation-GFA-computation-form.pdf" TargetMode="External" /><Relationship Type="http://schemas.openxmlformats.org/officeDocument/2006/relationships/hyperlink" Id="rId39" Target="https://www.ura.gov.sg/-/media/Corporate/Guidelines/Development-control/Flats-Condominiums/BE-Transformation-Submission-process.pdf" TargetMode="External" /><Relationship Type="http://schemas.openxmlformats.org/officeDocument/2006/relationships/hyperlink" Id="rId42" Target="https://www.ura.gov.sg/-/media/Corporate/Guidelines/Development-control/Flats-Condominiums/BE-Transformation-building-type.pdf" TargetMode="External" /><Relationship Type="http://schemas.openxmlformats.org/officeDocument/2006/relationships/hyperlink" Id="rId23" Target="https://www.ura.gov.sg/-/media/Corporate/Guidelines/Development-control/Flats-Condominiums/F07_Balcony_Perimeter_Opening.jpg" TargetMode="External" /><Relationship Type="http://schemas.openxmlformats.org/officeDocument/2006/relationships/hyperlink" Id="rId27" Target="https://www.ura.gov.sg/Corporate/Guidelines/Development-Control/Non-Residential/Hotel/Greenery" TargetMode="External" /><Relationship Type="http://schemas.openxmlformats.org/officeDocument/2006/relationships/hyperlink" Id="rId46" Target="https://www.ura.gov.sg/Corporate/Guidelines/Development-Control/gross-floor-area/GFA/Privately-OwnedPublicSpacesPOPS" TargetMode="External" /></Relationships>
</file>

<file path=word/_rels/footnotes.xml.rels><?xml version="1.0" encoding="UTF-8"?><Relationships xmlns="http://schemas.openxmlformats.org/package/2006/relationships"><Relationship Type="http://schemas.openxmlformats.org/officeDocument/2006/relationships/hyperlink" Id="rId31" Target="file:///C:/Users/urawongyq/Documents/My%20documents/Updates/Flats%20and%20Condominiums%20-%20draft%20edit.docx#_ftn1" TargetMode="External" /><Relationship Type="http://schemas.openxmlformats.org/officeDocument/2006/relationships/hyperlink" Id="rId37" Target="https://form.gov.sg/610112199bdc0c00123abb25" TargetMode="External" /><Relationship Type="http://schemas.openxmlformats.org/officeDocument/2006/relationships/hyperlink" Id="rId24" Target="https://www.ura.gov.sg/-/media/Corporate/Guidelines/Development-control/Circulars/2018/Oct/dc18-07/dc18-07-App2.pdf" TargetMode="External" /><Relationship Type="http://schemas.openxmlformats.org/officeDocument/2006/relationships/hyperlink" Id="rId38" Target="https://www.ura.gov.sg/-/media/Corporate/Guidelines/Development-control/Flats-Condominiums/BE-Transformation-GFA-computation-form.pdf" TargetMode="External" /><Relationship Type="http://schemas.openxmlformats.org/officeDocument/2006/relationships/hyperlink" Id="rId39" Target="https://www.ura.gov.sg/-/media/Corporate/Guidelines/Development-control/Flats-Condominiums/BE-Transformation-Submission-process.pdf" TargetMode="External" /><Relationship Type="http://schemas.openxmlformats.org/officeDocument/2006/relationships/hyperlink" Id="rId42" Target="https://www.ura.gov.sg/-/media/Corporate/Guidelines/Development-control/Flats-Condominiums/BE-Transformation-building-type.pdf" TargetMode="External" /><Relationship Type="http://schemas.openxmlformats.org/officeDocument/2006/relationships/hyperlink" Id="rId23" Target="https://www.ura.gov.sg/-/media/Corporate/Guidelines/Development-control/Flats-Condominiums/F07_Balcony_Perimeter_Opening.jpg" TargetMode="External" /><Relationship Type="http://schemas.openxmlformats.org/officeDocument/2006/relationships/hyperlink" Id="rId27" Target="https://www.ura.gov.sg/Corporate/Guidelines/Development-Control/Non-Residential/Hotel/Greenery" TargetMode="External" /><Relationship Type="http://schemas.openxmlformats.org/officeDocument/2006/relationships/hyperlink" Id="rId46" Target="https://www.ura.gov.sg/Corporate/Guidelines/Development-Control/gross-floor-area/GFA/Privately-OwnedPublicSpacesPO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2024-05-23T09:32:19Z</dcterms:created>
  <dcterms:modified xsi:type="dcterms:W3CDTF">2024-05-23T09:32:19Z</dcterms:modified>
</cp:coreProperties>
</file>

<file path=docProps/custom.xml><?xml version="1.0" encoding="utf-8"?>
<Properties xmlns="http://schemas.openxmlformats.org/officeDocument/2006/custom-properties" xmlns:vt="http://schemas.openxmlformats.org/officeDocument/2006/docPropsVTypes"/>
</file>