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4"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hyperlink r:id="rId25">
        <w:r>
          <w:rPr>
            <w:rStyle w:val="Hyperlink"/>
          </w:rPr>
          <w:t xml:space="preserve">https://www.ura.gov.sg/-/media/Corporate/Guidelines/Development-control/Flats-Condominiums/F09_Landscape_Replacement_Small.jpg?h=580&amp;w=1000</w:t>
        </w:r>
      </w:hyperlink>
      <w:r>
        <w:br/>
      </w:r>
      <w:r>
        <w:rPr>
          <w:i/>
          <w:iCs/>
        </w:rPr>
        <w:t xml:space="preserve">Landscape Replacement Areas (View high-res illustration</w:t>
      </w:r>
      <w:r>
        <w:rPr>
          <w:i/>
          <w:iCs/>
        </w:rPr>
        <w:t xml:space="preserve"> </w:t>
      </w:r>
      <w:hyperlink r:id="rId26">
        <w:r>
          <w:rPr>
            <w:rStyle w:val="Hyperlink"/>
            <w:i/>
            <w:iCs/>
          </w:rPr>
          <w:t xml:space="preserve">here</w:t>
        </w:r>
      </w:hyperlink>
      <w:r>
        <w:rPr>
          <w:i/>
          <w:iCs/>
        </w:rPr>
        <w:t xml:space="preserve">)</w:t>
      </w:r>
    </w:p>
    <w:bookmarkStart w:id="63" w:name="LUSH1"/>
    <w:p>
      <w:pPr>
        <w:pStyle w:val="BodyText"/>
      </w:pPr>
      <w:hyperlink w:anchor="LRA-Strategic-Areas"/>
    </w:p>
    <w:bookmarkStart w:id="27" w:name="Xc63cb489674a1735831e031a6073108a18ca8d5"/>
    <w:p>
      <w:pPr>
        <w:pStyle w:val="Heading4"/>
      </w:pPr>
      <w:r>
        <w:t xml:space="preserve">Landscape Replacement Areas (LRA) Guidelines in Strategic Areas</w:t>
      </w:r>
    </w:p>
    <w:bookmarkEnd w:id="27"/>
    <w:bookmarkStart w:id="56"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hyperlink r:id="rId28">
        <w:r>
          <w:rPr>
            <w:rStyle w:val="Hyperlink"/>
          </w:rPr>
          <w:t xml:space="preserve">https://www.ura.gov.sg/-/media/Corporate/Guidelines/Development-control/Flats-Condominiums/GnPR_Calculation.png?h=100%25&amp;w=100%25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w:t>
      </w:r>
      <w:r>
        <w:rPr>
          <w:i/>
          <w:iCs/>
        </w:rPr>
        <w:t xml:space="preserve"> </w:t>
      </w:r>
      <w:r>
        <w:rPr>
          <w:i/>
          <w:iCs/>
        </w:rPr>
        <w:t xml:space="preserve">Building height is based on Singapore Height Datum (SHD).</w:t>
      </w:r>
    </w:p>
    <w:p>
      <w:pPr>
        <w:pStyle w:val="BodyText"/>
      </w:pPr>
      <w:r>
        <w:br/>
      </w: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0">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1">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2">
              <w:r>
                <w:rPr>
                  <w:rStyle w:val="Hyperlink"/>
                </w:rPr>
                <w:t xml:space="preserve">Bedok Planning Area</w:t>
              </w:r>
            </w:hyperlink>
          </w:p>
        </w:tc>
      </w:tr>
      <w:tr>
        <w:tc>
          <w:tcPr/>
          <w:p>
            <w:pPr>
              <w:pStyle w:val="Compact"/>
              <w:jc w:val="center"/>
            </w:pPr>
            <w:r>
              <w:t xml:space="preserve">1-4</w:t>
            </w:r>
          </w:p>
        </w:tc>
        <w:tc>
          <w:tcPr/>
          <w:p>
            <w:pPr>
              <w:pStyle w:val="Compact"/>
              <w:jc w:val="left"/>
            </w:pPr>
            <w:hyperlink r:id="rId33">
              <w:r>
                <w:rPr>
                  <w:rStyle w:val="Hyperlink"/>
                </w:rPr>
                <w:t xml:space="preserve">Bishan Planning Area</w:t>
              </w:r>
            </w:hyperlink>
          </w:p>
        </w:tc>
      </w:tr>
      <w:tr>
        <w:tc>
          <w:tcPr/>
          <w:p>
            <w:pPr>
              <w:pStyle w:val="Compact"/>
              <w:jc w:val="center"/>
            </w:pPr>
            <w:r>
              <w:t xml:space="preserve">1-5</w:t>
            </w:r>
          </w:p>
        </w:tc>
        <w:tc>
          <w:tcPr/>
          <w:p>
            <w:pPr>
              <w:pStyle w:val="Compact"/>
              <w:jc w:val="left"/>
            </w:pPr>
            <w:hyperlink r:id="rId34">
              <w:r>
                <w:rPr>
                  <w:rStyle w:val="Hyperlink"/>
                </w:rPr>
                <w:t xml:space="preserve">Boon Lay Planning Area</w:t>
              </w:r>
            </w:hyperlink>
          </w:p>
        </w:tc>
      </w:tr>
      <w:tr>
        <w:tc>
          <w:tcPr/>
          <w:p>
            <w:pPr>
              <w:pStyle w:val="Compact"/>
              <w:jc w:val="center"/>
            </w:pPr>
            <w:r>
              <w:t xml:space="preserve">1-6</w:t>
            </w:r>
          </w:p>
        </w:tc>
        <w:tc>
          <w:tcPr/>
          <w:p>
            <w:pPr>
              <w:pStyle w:val="Compact"/>
              <w:jc w:val="left"/>
            </w:pPr>
            <w:hyperlink r:id="rId35">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6">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37">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38">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39">
              <w:r>
                <w:rPr>
                  <w:rStyle w:val="Hyperlink"/>
                </w:rPr>
                <w:t xml:space="preserve">Clementi Planning Area</w:t>
              </w:r>
            </w:hyperlink>
          </w:p>
        </w:tc>
      </w:tr>
      <w:tr>
        <w:tc>
          <w:tcPr/>
          <w:p>
            <w:pPr>
              <w:pStyle w:val="Compact"/>
              <w:jc w:val="center"/>
            </w:pPr>
            <w:r>
              <w:t xml:space="preserve">1-11</w:t>
            </w:r>
          </w:p>
        </w:tc>
        <w:tc>
          <w:tcPr/>
          <w:p>
            <w:pPr>
              <w:pStyle w:val="Compact"/>
              <w:jc w:val="left"/>
            </w:pPr>
            <w:hyperlink r:id="rId40">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1">
              <w:r>
                <w:rPr>
                  <w:rStyle w:val="Hyperlink"/>
                </w:rPr>
                <w:t xml:space="preserve">Hougang Planning Area</w:t>
              </w:r>
            </w:hyperlink>
          </w:p>
        </w:tc>
      </w:tr>
      <w:tr>
        <w:tc>
          <w:tcPr/>
          <w:p>
            <w:pPr>
              <w:pStyle w:val="Compact"/>
              <w:jc w:val="center"/>
            </w:pPr>
            <w:r>
              <w:t xml:space="preserve">1-13</w:t>
            </w:r>
          </w:p>
        </w:tc>
        <w:tc>
          <w:tcPr/>
          <w:p>
            <w:pPr>
              <w:pStyle w:val="Compact"/>
              <w:jc w:val="left"/>
            </w:pPr>
            <w:hyperlink r:id="rId42">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0">
              <w:r>
                <w:rPr>
                  <w:rStyle w:val="Hyperlink"/>
                </w:rPr>
                <w:t xml:space="preserve">Kallang Riverside</w:t>
              </w:r>
            </w:hyperlink>
          </w:p>
        </w:tc>
      </w:tr>
      <w:tr>
        <w:tc>
          <w:tcPr/>
          <w:p>
            <w:pPr>
              <w:pStyle w:val="Compact"/>
              <w:jc w:val="center"/>
            </w:pPr>
            <w:r>
              <w:t xml:space="preserve">1-15</w:t>
            </w:r>
          </w:p>
        </w:tc>
        <w:tc>
          <w:tcPr/>
          <w:p>
            <w:pPr>
              <w:pStyle w:val="Compact"/>
              <w:jc w:val="left"/>
            </w:pPr>
            <w:hyperlink r:id="rId43">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4">
              <w:r>
                <w:rPr>
                  <w:rStyle w:val="Hyperlink"/>
                </w:rPr>
                <w:t xml:space="preserve">Novena Planning Area</w:t>
              </w:r>
            </w:hyperlink>
          </w:p>
        </w:tc>
      </w:tr>
      <w:tr>
        <w:tc>
          <w:tcPr/>
          <w:p>
            <w:pPr>
              <w:pStyle w:val="Compact"/>
              <w:jc w:val="center"/>
            </w:pPr>
            <w:r>
              <w:t xml:space="preserve">1-17</w:t>
            </w:r>
          </w:p>
        </w:tc>
        <w:tc>
          <w:tcPr/>
          <w:p>
            <w:pPr>
              <w:pStyle w:val="Compact"/>
              <w:jc w:val="left"/>
            </w:pPr>
            <w:hyperlink r:id="rId45">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6">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47">
              <w:r>
                <w:rPr>
                  <w:rStyle w:val="Hyperlink"/>
                </w:rPr>
                <w:t xml:space="preserve">Punggol Planning Area</w:t>
              </w:r>
            </w:hyperlink>
          </w:p>
        </w:tc>
      </w:tr>
      <w:tr>
        <w:tc>
          <w:tcPr/>
          <w:p>
            <w:pPr>
              <w:pStyle w:val="Compact"/>
              <w:jc w:val="center"/>
            </w:pPr>
            <w:r>
              <w:t xml:space="preserve">1-20</w:t>
            </w:r>
          </w:p>
        </w:tc>
        <w:tc>
          <w:tcPr/>
          <w:p>
            <w:pPr>
              <w:pStyle w:val="Compact"/>
              <w:jc w:val="left"/>
            </w:pPr>
            <w:hyperlink r:id="rId48">
              <w:r>
                <w:rPr>
                  <w:rStyle w:val="Hyperlink"/>
                </w:rPr>
                <w:t xml:space="preserve">Sembawang Planning Area</w:t>
              </w:r>
            </w:hyperlink>
          </w:p>
        </w:tc>
      </w:tr>
      <w:tr>
        <w:tc>
          <w:tcPr/>
          <w:p>
            <w:pPr>
              <w:pStyle w:val="Compact"/>
              <w:jc w:val="center"/>
            </w:pPr>
            <w:r>
              <w:t xml:space="preserve">1-21</w:t>
            </w:r>
          </w:p>
        </w:tc>
        <w:tc>
          <w:tcPr/>
          <w:p>
            <w:pPr>
              <w:pStyle w:val="Compact"/>
              <w:jc w:val="left"/>
            </w:pPr>
            <w:hyperlink r:id="rId49">
              <w:r>
                <w:rPr>
                  <w:rStyle w:val="Hyperlink"/>
                </w:rPr>
                <w:t xml:space="preserve">Sengkang Planning Area</w:t>
              </w:r>
            </w:hyperlink>
          </w:p>
        </w:tc>
      </w:tr>
      <w:tr>
        <w:tc>
          <w:tcPr/>
          <w:p>
            <w:pPr>
              <w:pStyle w:val="Compact"/>
              <w:jc w:val="center"/>
            </w:pPr>
            <w:r>
              <w:t xml:space="preserve">1-22</w:t>
            </w:r>
          </w:p>
        </w:tc>
        <w:tc>
          <w:tcPr/>
          <w:p>
            <w:pPr>
              <w:pStyle w:val="Compact"/>
              <w:jc w:val="left"/>
            </w:pPr>
            <w:hyperlink r:id="rId50">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1">
              <w:r>
                <w:rPr>
                  <w:rStyle w:val="Hyperlink"/>
                </w:rPr>
                <w:t xml:space="preserve">Tampines Planning Area</w:t>
              </w:r>
            </w:hyperlink>
          </w:p>
        </w:tc>
      </w:tr>
      <w:tr>
        <w:tc>
          <w:tcPr/>
          <w:p>
            <w:pPr>
              <w:pStyle w:val="Compact"/>
              <w:jc w:val="center"/>
            </w:pPr>
            <w:r>
              <w:t xml:space="preserve">1-24</w:t>
            </w:r>
          </w:p>
        </w:tc>
        <w:tc>
          <w:tcPr/>
          <w:p>
            <w:pPr>
              <w:pStyle w:val="Compact"/>
              <w:jc w:val="left"/>
            </w:pPr>
            <w:hyperlink r:id="rId52">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3">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4">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w:t>
            </w:r>
            <w:r>
              <w:t xml:space="preserve"> </w:t>
            </w:r>
            <w:r>
              <w:t xml:space="preserve">count towards hardscape under the LRA requirement, up to 10% of site area and subject to the merits of the proposal.</w:t>
            </w:r>
            <w:r>
              <w:br/>
            </w:r>
            <w:hyperlink r:id="rId55"/>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6"/>
    <w:p>
      <w:pPr>
        <w:pStyle w:val="BodyText"/>
      </w:pPr>
      <w:hyperlink w:anchor="LRA-Outside-Strategic-Areas"/>
    </w:p>
    <w:bookmarkStart w:id="57" w:name="X0887e3ea7198614d43993478ad2abef36cf8b11"/>
    <w:p>
      <w:pPr>
        <w:pStyle w:val="Heading4"/>
      </w:pPr>
      <w:r>
        <w:t xml:space="preserve">LRA Guidelines outside the Strategic Areas</w:t>
      </w:r>
    </w:p>
    <w:bookmarkEnd w:id="57"/>
    <w:bookmarkStart w:id="58" w:name="LRA-Outside-Strategic-Areas"/>
    <w:p>
      <w:pPr>
        <w:pStyle w:val="FirstParagraph"/>
      </w:pPr>
      <w:r>
        <w:t xml:space="preserve">Outside of the Strategic Areas, all sites zoned Commercial,</w:t>
      </w:r>
      <w:r>
        <w:t xml:space="preserve"> </w:t>
      </w:r>
      <w:r>
        <w:t xml:space="preserve">Residential</w:t>
      </w:r>
      <w:r>
        <w:t xml:space="preserve"> with Commercial at 1st storey, Commercial and Residential, Hotel and White shall be required to meet minimum greening standards, tiered according to the development’s GPR as shown in the table below.</w:t>
      </w:r>
    </w:p>
    <w:p>
      <w:pPr>
        <w:pStyle w:val="BodyText"/>
      </w:pPr>
      <w:r>
        <w:rPr>
          <w:b/>
          <w:bCs/>
        </w:rPr>
        <w:t xml:space="preserve">LRA Requirements for Developments Outside Strategic Areas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center"/>
            </w:pPr>
            <w:r>
              <w:rPr>
                <w:b/>
                <w:bCs/>
              </w:rPr>
              <w:t xml:space="preserve">LRA Requirements</w:t>
            </w:r>
          </w:p>
        </w:tc>
        <w:tc>
          <w:tcPr/>
          <w:p>
            <w:pPr>
              <w:pStyle w:val="Compact"/>
              <w:jc w:val="center"/>
            </w:pPr>
            <w:r>
              <w:rPr>
                <w:b/>
                <w:bCs/>
              </w:rPr>
              <w:t xml:space="preserve">GPR ≤ 1.4</w:t>
            </w:r>
          </w:p>
        </w:tc>
        <w:tc>
          <w:tcPr/>
          <w:p>
            <w:pPr>
              <w:pStyle w:val="Compact"/>
              <w:jc w:val="center"/>
            </w:pPr>
            <w:r>
              <w:rPr>
                <w:b/>
                <w:bCs/>
              </w:rPr>
              <w:t xml:space="preserve">1.4 &lt; GPR &lt; 2.8</w:t>
            </w:r>
          </w:p>
        </w:tc>
        <w:tc>
          <w:tcPr/>
          <w:p>
            <w:pPr>
              <w:pStyle w:val="Compact"/>
              <w:jc w:val="center"/>
            </w:pPr>
            <w:r>
              <w:rPr>
                <w:b/>
                <w:bCs/>
              </w:rPr>
              <w:t xml:space="preserve">GPR ≥ 2.8</w:t>
            </w:r>
          </w:p>
        </w:tc>
      </w:tr>
      <w:tr>
        <w:tc>
          <w:tcPr/>
          <w:p>
            <w:pPr>
              <w:pStyle w:val="Compact"/>
              <w:jc w:val="center"/>
            </w:pPr>
            <w:r>
              <w:t xml:space="preserve">Overall Greenery Provision</w:t>
            </w:r>
            <w:r>
              <w:br/>
            </w:r>
            <w:r>
              <w:t xml:space="preserve">(as % of Site Area)</w:t>
            </w:r>
          </w:p>
        </w:tc>
        <w:tc>
          <w:tcPr/>
          <w:p>
            <w:pPr>
              <w:pStyle w:val="Compact"/>
              <w:jc w:val="center"/>
            </w:pPr>
            <w:r>
              <w:t xml:space="preserve">30</w:t>
            </w:r>
          </w:p>
        </w:tc>
        <w:tc>
          <w:tcPr/>
          <w:p>
            <w:pPr>
              <w:pStyle w:val="Compact"/>
              <w:jc w:val="center"/>
            </w:pPr>
            <w:r>
              <w:t xml:space="preserve">35</w:t>
            </w:r>
          </w:p>
        </w:tc>
        <w:tc>
          <w:tcPr/>
          <w:p>
            <w:pPr>
              <w:pStyle w:val="Compact"/>
              <w:jc w:val="center"/>
            </w:pPr>
            <w:r>
              <w:t xml:space="preserve">40</w:t>
            </w:r>
          </w:p>
        </w:tc>
      </w:tr>
      <w:tr>
        <w:tc>
          <w:tcPr/>
          <w:p>
            <w:pPr>
              <w:pStyle w:val="Compact"/>
              <w:jc w:val="center"/>
            </w:pPr>
            <w:r>
              <w:t xml:space="preserve">Green Plot Ratio</w:t>
            </w:r>
            <w:r>
              <w:br/>
            </w:r>
            <w:r>
              <w:t xml:space="preserve">(Total Leaf Area/Site Area)</w:t>
            </w:r>
          </w:p>
        </w:tc>
        <w:tc>
          <w:tcPr/>
          <w:p>
            <w:pPr>
              <w:pStyle w:val="Compact"/>
              <w:jc w:val="center"/>
            </w:pPr>
            <w:r>
              <w:t xml:space="preserve">3</w:t>
            </w:r>
          </w:p>
        </w:tc>
        <w:tc>
          <w:tcPr/>
          <w:p>
            <w:pPr>
              <w:pStyle w:val="Compact"/>
              <w:jc w:val="center"/>
            </w:pPr>
            <w:r>
              <w:t xml:space="preserve">3.5</w:t>
            </w:r>
          </w:p>
        </w:tc>
        <w:tc>
          <w:tcPr/>
          <w:p>
            <w:pPr>
              <w:pStyle w:val="Compact"/>
              <w:jc w:val="center"/>
            </w:pPr>
            <w:r>
              <w:t xml:space="preserve">4 </w:t>
            </w:r>
          </w:p>
        </w:tc>
      </w:tr>
    </w:tbl>
    <w:p>
      <w:pPr>
        <w:pStyle w:val="BodyText"/>
      </w:pPr>
      <w:r>
        <w:br/>
      </w:r>
    </w:p>
    <w:p>
      <w:pPr>
        <w:pStyle w:val="BodyText"/>
      </w:pPr>
      <w:r>
        <w:t xml:space="preserve">The Green Plot Ratio provides an objective measure of the density of greenery within a site. The formula for computing GnPR and the minimum GnPR requirement is as follows:</w:t>
      </w:r>
    </w:p>
    <w:p>
      <w:pPr>
        <w:pStyle w:val="BodyText"/>
      </w:pPr>
      <w:hyperlink r:id="rId28">
        <w:r>
          <w:rPr>
            <w:rStyle w:val="Hyperlink"/>
          </w:rPr>
          <w:t xml:space="preserve">https://www.ura.gov.sg/-/media/Corporate/Guidelines/Development-control/Flats-Condominiums/GnPR_Calculation.png?h=100%25&amp;w=100%25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by searching the common or scientific names of plants.</w:t>
      </w:r>
    </w:p>
    <w:p>
      <w:pPr>
        <w:pStyle w:val="BodyText"/>
      </w:pPr>
      <w:r>
        <w:t xml:space="preserve">The general guidelines of LRA are shown in the table below. The computation of the LRAs outside the Strategic Areas is the sum of:</w:t>
      </w:r>
    </w:p>
    <w:p>
      <w:pPr>
        <w:pStyle w:val="Compact"/>
        <w:numPr>
          <w:ilvl w:val="0"/>
          <w:numId w:val="1006"/>
        </w:numPr>
      </w:pPr>
      <w:r>
        <w:t xml:space="preserve">Horizontal surface area of the softscape eg permanent planting beds; and</w:t>
      </w:r>
    </w:p>
    <w:p>
      <w:pPr>
        <w:pStyle w:val="Compact"/>
        <w:numPr>
          <w:ilvl w:val="0"/>
          <w:numId w:val="1006"/>
        </w:numPr>
      </w:pPr>
      <w:r>
        <w:t xml:space="preserve">Vertical surface area of green walls (if any).</w:t>
      </w:r>
    </w:p>
    <w:p>
      <w:pPr>
        <w:pStyle w:val="FirstParagraph"/>
      </w:pPr>
      <w:r>
        <w:rPr>
          <w:b/>
          <w:bCs/>
        </w:rPr>
        <w:t xml:space="preserve">Guidelines for LRAs in Outside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Outside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7"/>
              </w:numPr>
              <w:jc w:val="left"/>
            </w:pPr>
            <w:r>
              <w:t xml:space="preserve">unenclosed and open-to-sky, or</w:t>
            </w:r>
          </w:p>
          <w:p>
            <w:pPr>
              <w:pStyle w:val="Compact"/>
              <w:numPr>
                <w:ilvl w:val="0"/>
                <w:numId w:val="1007"/>
              </w:numPr>
              <w:jc w:val="left"/>
            </w:pPr>
            <w:r>
              <w:t xml:space="preserve">If covered, open sided, naturally ventilated, and qualify for GFA exemption under a LUSH incentive scheme (eg Communal Planter Boxes, Covered Communal Ground Gardens and/or, Sky Terraces).</w:t>
            </w:r>
          </w:p>
          <w:p>
            <w:pPr>
              <w:pStyle w:val="Compact"/>
              <w:jc w:val="left"/>
            </w:pPr>
            <w:r>
              <w:t xml:space="preserve">The LRA may be located on any storey of the development, and shall be accessible to the public and building occupants during normal operating hours.</w:t>
            </w:r>
            <w:r>
              <w:br/>
            </w:r>
            <w:r>
              <w:br/>
            </w: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8"/>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8"/>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 LRAs for hotels within mixed-use developments, however, may be attributed to the hotel strata should they be contiguous to other hotel uses and be adequately segregated from other uses.</w:t>
            </w:r>
            <w:r>
              <w:br/>
            </w:r>
            <w:r>
              <w:br/>
            </w:r>
            <w:r>
              <w:t xml:space="preserve">Building owners shall retain the required LRAs.</w:t>
            </w:r>
          </w:p>
        </w:tc>
      </w:tr>
    </w:tbl>
    <w:bookmarkEnd w:id="58"/>
    <w:p>
      <w:pPr>
        <w:pStyle w:val="BodyText"/>
      </w:pPr>
      <w:hyperlink w:anchor="Landscape-Plan"/>
    </w:p>
    <w:bookmarkStart w:id="59" w:name="X33698b67f67b19727a08bff87658327fb3a3915"/>
    <w:p>
      <w:pPr>
        <w:pStyle w:val="Heading4"/>
      </w:pPr>
      <w:r>
        <w:t xml:space="preserve">Plan Presentation Requirements for Landscape Replacement Areas</w:t>
      </w:r>
    </w:p>
    <w:bookmarkEnd w:id="59"/>
    <w:bookmarkStart w:id="62" w:name="Landscape-Plan"/>
    <w:p>
      <w:pPr>
        <w:pStyle w:val="FirstParagraph"/>
      </w:pPr>
      <w:r>
        <w:t xml:space="preserve">A Landscape Plan for all Landscape Replacement Areas shall be submitted together with the Development Application, as illustrated below.</w:t>
      </w:r>
    </w:p>
    <w:p>
      <w:pPr>
        <w:pStyle w:val="BodyText"/>
      </w:pPr>
      <w:hyperlink r:id="rId60">
        <w:r>
          <w:rPr>
            <w:rStyle w:val="Hyperlink"/>
            <w:i/>
            <w:iCs/>
          </w:rPr>
          <w:t xml:space="preserve">https://www.ura.gov.sg/-/media/Corporate/Guidelines/Development-control/Flats-Condominiums/F10_Example_of_Landscape_Plan.jpg?h=100%25&amp;w=100%25</w:t>
        </w:r>
      </w:hyperlink>
    </w:p>
    <w:p>
      <w:pPr>
        <w:pStyle w:val="BodyText"/>
      </w:pPr>
      <w:r>
        <w:rPr>
          <w:i/>
          <w:iCs/>
        </w:rPr>
        <w:t xml:space="preserve">Landscape Plan template (view high-res illustration</w:t>
      </w:r>
      <w:r>
        <w:rPr>
          <w:i/>
          <w:iCs/>
        </w:rPr>
        <w:t xml:space="preserve"> </w:t>
      </w:r>
      <w:hyperlink r:id="rId61">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9"/>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10"/>
        </w:numPr>
      </w:pPr>
      <w:r>
        <w:t xml:space="preserve">Computations of the overall LRA, softscape areas and Green Plot Ratio;</w:t>
      </w:r>
    </w:p>
    <w:p>
      <w:pPr>
        <w:pStyle w:val="Compact"/>
        <w:numPr>
          <w:ilvl w:val="1"/>
          <w:numId w:val="1010"/>
        </w:numPr>
      </w:pPr>
      <w:r>
        <w:t xml:space="preserve">Proposed schedule and annotation of plant species and paving materials;</w:t>
      </w:r>
    </w:p>
    <w:p>
      <w:pPr>
        <w:pStyle w:val="Compact"/>
        <w:numPr>
          <w:ilvl w:val="1"/>
          <w:numId w:val="1010"/>
        </w:numPr>
      </w:pPr>
      <w:r>
        <w:t xml:space="preserve">Where relevant, annotations of ancillary uses eg Swimming Pool, BBQ Area, etc.;</w:t>
      </w:r>
    </w:p>
    <w:p>
      <w:pPr>
        <w:pStyle w:val="Compact"/>
        <w:numPr>
          <w:ilvl w:val="1"/>
          <w:numId w:val="1010"/>
        </w:numPr>
      </w:pPr>
      <w:r>
        <w:t xml:space="preserve">Where relevant, annotations of the 45-degree line;</w:t>
      </w:r>
    </w:p>
    <w:p>
      <w:pPr>
        <w:pStyle w:val="Compact"/>
        <w:numPr>
          <w:ilvl w:val="1"/>
          <w:numId w:val="1010"/>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62"/>
    <w:bookmarkEnd w:id="63"/>
    <w:bookmarkEnd w:id="64"/>
    <w:p>
      <w:pPr>
        <w:pStyle w:val="BodyText"/>
      </w:pPr>
      <w:hyperlink w:anchor="LUSH-Incentives"/>
    </w:p>
    <w:p>
      <w:pPr>
        <w:pStyle w:val="BodyText"/>
      </w:pPr>
      <w:r>
        <w:t xml:space="preserve">LUSH Incentives</w:t>
      </w:r>
    </w:p>
    <w:bookmarkStart w:id="78" w:name="LUSH-Incentives"/>
    <w:p>
      <w:pPr>
        <w:pStyle w:val="BodyText"/>
      </w:pPr>
      <w:r>
        <w:t xml:space="preserve">The following incentive schemes can be used throughout the development to provide greenery and communal spaces.</w:t>
      </w:r>
    </w:p>
    <w:bookmarkStart w:id="77" w:name="LUSH-Incentives1"/>
    <w:p>
      <w:pPr>
        <w:pStyle w:val="BodyText"/>
      </w:pPr>
      <w:hyperlink w:anchor="Sky-Terraces"/>
    </w:p>
    <w:bookmarkStart w:id="65" w:name="sky-terraces"/>
    <w:p>
      <w:pPr>
        <w:pStyle w:val="Heading4"/>
      </w:pPr>
      <w:r>
        <w:t xml:space="preserve">Sky Terraces</w:t>
      </w:r>
    </w:p>
    <w:bookmarkEnd w:id="65"/>
    <w:bookmarkStart w:id="66"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11"/>
              </w:numPr>
              <w:jc w:val="left"/>
            </w:pPr>
            <w:r>
              <w:t xml:space="preserve">The corridor lies within the 45-degree exemption area;</w:t>
            </w:r>
          </w:p>
          <w:p>
            <w:pPr>
              <w:pStyle w:val="Compact"/>
              <w:numPr>
                <w:ilvl w:val="0"/>
                <w:numId w:val="1011"/>
              </w:numPr>
              <w:jc w:val="left"/>
            </w:pPr>
            <w:r>
              <w:t xml:space="preserve">The corridor serves the sky terrace; and</w:t>
            </w:r>
          </w:p>
          <w:p>
            <w:pPr>
              <w:pStyle w:val="Compact"/>
              <w:numPr>
                <w:ilvl w:val="0"/>
                <w:numId w:val="1011"/>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hyperlink r:id="rId60">
        <w:r>
          <w:rPr>
            <w:rStyle w:val="Hyperlink"/>
          </w:rPr>
          <w:t xml:space="preserve">https://www.ura.gov.sg/-/media/Corporate/Guidelines/Development-control/Flats-Condominiums/F10_Example_of_Landscape_Plan.jpg?h=100%25&amp;w=100%25</w:t>
        </w:r>
      </w:hyperlink>
    </w:p>
    <w:p>
      <w:pPr>
        <w:pStyle w:val="BodyText"/>
      </w:pPr>
      <w:r>
        <w:rPr>
          <w:i/>
          <w:iCs/>
        </w:rPr>
        <w:t xml:space="preserve">Typical Landscape Plan (view high-res illustration</w:t>
      </w:r>
      <w:r>
        <w:rPr>
          <w:i/>
          <w:iCs/>
        </w:rPr>
        <w:t xml:space="preserve"> </w:t>
      </w:r>
      <w:hyperlink r:id="rId61">
        <w:r>
          <w:rPr>
            <w:rStyle w:val="Hyperlink"/>
            <w:i/>
            <w:iCs/>
          </w:rPr>
          <w:t xml:space="preserve">here</w:t>
        </w:r>
      </w:hyperlink>
      <w:r>
        <w:rPr>
          <w:i/>
          <w:iCs/>
        </w:rPr>
        <w:t xml:space="preserve">)</w:t>
      </w:r>
    </w:p>
    <w:bookmarkEnd w:id="66"/>
    <w:p>
      <w:pPr>
        <w:pStyle w:val="BodyText"/>
      </w:pPr>
      <w:hyperlink w:anchor="Communal-Planter-Boxes"/>
    </w:p>
    <w:bookmarkStart w:id="67" w:name="communal-planter-boxes"/>
    <w:p>
      <w:pPr>
        <w:pStyle w:val="Heading4"/>
      </w:pPr>
      <w:r>
        <w:t xml:space="preserve">Communal Planter Boxes</w:t>
      </w:r>
    </w:p>
    <w:bookmarkEnd w:id="67"/>
    <w:bookmarkStart w:id="68" w:name="Communal-Planter-Boxes"/>
    <w:p>
      <w:pPr>
        <w:pStyle w:val="FirstParagraph"/>
      </w:pPr>
      <w:r>
        <w:t xml:space="preserve">Communal planter boxes shall comply with the following criteria:</w:t>
      </w:r>
    </w:p>
    <w:p>
      <w:pPr>
        <w:pStyle w:val="Compact"/>
        <w:numPr>
          <w:ilvl w:val="0"/>
          <w:numId w:val="1012"/>
        </w:numPr>
      </w:pPr>
      <w:r>
        <w:t xml:space="preserve">Maximum width of 1m;</w:t>
      </w:r>
    </w:p>
    <w:p>
      <w:pPr>
        <w:pStyle w:val="Compact"/>
        <w:numPr>
          <w:ilvl w:val="0"/>
          <w:numId w:val="1012"/>
        </w:numPr>
      </w:pPr>
      <w:r>
        <w:t xml:space="preserve">Minimum depth of 500mm (for planting purpose);</w:t>
      </w:r>
    </w:p>
    <w:p>
      <w:pPr>
        <w:pStyle w:val="Compact"/>
        <w:numPr>
          <w:ilvl w:val="0"/>
          <w:numId w:val="1012"/>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68"/>
    <w:p>
      <w:pPr>
        <w:pStyle w:val="BodyText"/>
      </w:pPr>
      <w:hyperlink w:anchor="Covered-Communal-Ground-Gardens"/>
    </w:p>
    <w:bookmarkStart w:id="69" w:name="covered-communal-ground-gardens"/>
    <w:p>
      <w:pPr>
        <w:pStyle w:val="Heading4"/>
      </w:pPr>
      <w:r>
        <w:t xml:space="preserve">Covered Communal Ground Gardens</w:t>
      </w:r>
    </w:p>
    <w:bookmarkEnd w:id="69"/>
    <w:bookmarkStart w:id="71"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3"/>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3"/>
        </w:numPr>
      </w:pPr>
      <w:r>
        <w:t xml:space="preserve">Secondary C2G2 are communal landscaped areas on the 1</w:t>
      </w:r>
      <w:r>
        <w:rPr>
          <w:vertAlign w:val="superscript"/>
        </w:rPr>
        <w:t xml:space="preserve">st</w:t>
      </w:r>
      <w:r>
        <w:t xml:space="preserve"> </w:t>
      </w:r>
      <w:r>
        <w:t xml:space="preserve">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70">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71"/>
    <w:p>
      <w:pPr>
        <w:pStyle w:val="BodyText"/>
      </w:pPr>
      <w:hyperlink w:anchor="Communal-Pavilions"/>
    </w:p>
    <w:bookmarkStart w:id="72" w:name="communal-pavilions"/>
    <w:p>
      <w:pPr>
        <w:pStyle w:val="Heading4"/>
      </w:pPr>
      <w:r>
        <w:t xml:space="preserve">Communal Pavilions</w:t>
      </w:r>
    </w:p>
    <w:bookmarkEnd w:id="72"/>
    <w:bookmarkStart w:id="73"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jc w:val="left"/>
            </w:pPr>
            <w:r>
              <w:t xml:space="preserve">Maximum 50sqm per pavilion*</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r>
              <w:br/>
            </w:r>
          </w:p>
          <w:p>
            <w:pPr>
              <w:pStyle w:val="Compact"/>
              <w:numPr>
                <w:ilvl w:val="0"/>
                <w:numId w:val="1014"/>
              </w:numPr>
              <w:jc w:val="left"/>
            </w:pPr>
            <w:r>
              <w:t xml:space="preserve">Maximum 500sqm* or 50% of roof coverage, whichever is lower.</w:t>
            </w:r>
          </w:p>
          <w:p>
            <w:pPr>
              <w:pStyle w:val="Compact"/>
              <w:numPr>
                <w:ilvl w:val="0"/>
                <w:numId w:val="1014"/>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4"/>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4"/>
              </w:numPr>
              <w:jc w:val="left"/>
            </w:pPr>
            <w:r>
              <w:t xml:space="preserve">Greenery on the rooftop shall be both enjoyable by the building users and visible from the surroundings.</w:t>
            </w:r>
          </w:p>
          <w:p>
            <w:pPr>
              <w:pStyle w:val="Compact"/>
              <w:numPr>
                <w:ilvl w:val="0"/>
                <w:numId w:val="1014"/>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3"/>
    <w:p>
      <w:pPr>
        <w:pStyle w:val="BodyText"/>
      </w:pPr>
      <w:hyperlink w:anchor="Bonus-GFA"/>
    </w:p>
    <w:bookmarkStart w:id="74" w:name="Xa129fad2d24660eecdba687c18767bb29b64f88"/>
    <w:p>
      <w:pPr>
        <w:pStyle w:val="Heading4"/>
      </w:pPr>
      <w:r>
        <w:t xml:space="preserve">Bonus GFA for Rooftop ORA on Landscaped Roofs</w:t>
      </w:r>
    </w:p>
    <w:bookmarkEnd w:id="74"/>
    <w:bookmarkStart w:id="76" w:name="Bonus-GFA"/>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Eligible Developments</w:t>
            </w:r>
          </w:p>
        </w:tc>
        <w:tc>
          <w:tcPr/>
          <w:p>
            <w:pPr>
              <w:pStyle w:val="Compact"/>
              <w:jc w:val="left"/>
            </w:pPr>
            <w:r>
              <w:t xml:space="preserve">Applicable to existing as well as new developments and redevelopment proposals approved for commercial and mixed use.</w:t>
            </w:r>
          </w:p>
        </w:tc>
      </w:tr>
      <w:tr>
        <w:tc>
          <w:tcPr/>
          <w:p>
            <w:pPr>
              <w:pStyle w:val="Compact"/>
              <w:jc w:val="left"/>
            </w:pPr>
            <w:r>
              <w:rPr>
                <w:b/>
                <w:bCs/>
              </w:rPr>
              <w:t xml:space="preserve">Locational Criteria</w:t>
            </w:r>
          </w:p>
        </w:tc>
        <w:tc>
          <w:tcPr/>
          <w:p>
            <w:pPr>
              <w:pStyle w:val="Compact"/>
              <w:jc w:val="left"/>
            </w:pPr>
            <w:r>
              <w:t xml:space="preserve">Applies to developments in Downtown Core, as well as parts of Orchard and Singapore River Planning Areas as shown</w:t>
            </w:r>
            <w:r>
              <w:t xml:space="preserve"> </w:t>
            </w:r>
            <w:hyperlink r:id="rId75">
              <w:r>
                <w:rPr>
                  <w:rStyle w:val="Hyperlink"/>
                </w:rPr>
                <w:t xml:space="preserve">here</w:t>
              </w:r>
            </w:hyperlink>
            <w:r>
              <w:t xml:space="preserve"> </w:t>
            </w:r>
            <w:r>
              <w:t xml:space="preserve">(PDF, 962 KB).</w:t>
            </w:r>
            <w:r>
              <w:br/>
            </w:r>
            <w:r>
              <w:br/>
            </w:r>
            <w:r>
              <w:t xml:space="preserve">Applications from developments in commercial nodes outside the above areas shall be assessed depending on merits, in view of potential amenity concerns.</w:t>
            </w:r>
          </w:p>
        </w:tc>
      </w:tr>
      <w:tr>
        <w:tc>
          <w:tcPr/>
          <w:p>
            <w:pPr>
              <w:pStyle w:val="Compact"/>
              <w:jc w:val="left"/>
            </w:pPr>
            <w:r>
              <w:rPr>
                <w:b/>
                <w:bCs/>
              </w:rPr>
              <w:t xml:space="preserve">Landscaping Provision and Extent of ORA</w:t>
            </w:r>
          </w:p>
        </w:tc>
        <w:tc>
          <w:tcPr/>
          <w:p>
            <w:pPr>
              <w:pStyle w:val="Compact"/>
              <w:jc w:val="left"/>
            </w:pPr>
            <w:r>
              <w:t xml:space="preserve">The rooftop garden shall occupy a significant portion of the roof space, supported by small scale ORA activities.</w:t>
            </w:r>
            <w:r>
              <w:br/>
            </w:r>
            <w:r>
              <w:br/>
            </w:r>
            <w:r>
              <w:t xml:space="preserve">Physical demarcation for the ORA spaces (eg in the form of planting beds, differences in levels, etc) is required to ensure that the ORA uses are kept within approved areas.</w:t>
            </w:r>
          </w:p>
        </w:tc>
      </w:tr>
      <w:tr>
        <w:tc>
          <w:tcPr/>
          <w:p>
            <w:pPr>
              <w:pStyle w:val="Compact"/>
              <w:jc w:val="left"/>
            </w:pPr>
            <w:r>
              <w:rPr>
                <w:b/>
                <w:bCs/>
              </w:rPr>
              <w:t xml:space="preserve">Bonus GFA for ORAs allowed over and above Master Plan Gross Plot Ratio</w:t>
            </w:r>
          </w:p>
        </w:tc>
        <w:tc>
          <w:tcPr/>
          <w:p>
            <w:pPr>
              <w:pStyle w:val="Compact"/>
              <w:jc w:val="left"/>
            </w:pPr>
            <w:r>
              <w:t xml:space="preserve">Rooftop ORAs shall not take up more than 50% of the overall roof space or 200sqm, whichever is lower.</w:t>
            </w:r>
            <w:r>
              <w:br/>
            </w:r>
            <w:r>
              <w:br/>
            </w:r>
            <w:r>
              <w:t xml:space="preserve">The ORA may be allowed on a per roof basis where all the available roof space in a development that are designed as roof gardens can include ORAs (eg podium roof and tower roof).</w:t>
            </w:r>
            <w:r>
              <w:br/>
            </w:r>
            <w:r>
              <w:br/>
            </w:r>
            <w:r>
              <w:t xml:space="preserve">The cumulative bonus GFA shall be kept within the overall budget of 10% above the Master Plan Gross Plot Ratio (GPR). The bonus GFA for ORA use only and allowed over and above the MP permissible GPR shall be placed on Temporary Permission (TP). It shall not form the future development potential of the site upon redevelopment.</w:t>
            </w:r>
          </w:p>
        </w:tc>
      </w:tr>
      <w:tr>
        <w:tc>
          <w:tcPr/>
          <w:p>
            <w:pPr>
              <w:pStyle w:val="Compact"/>
              <w:jc w:val="left"/>
            </w:pPr>
            <w:r>
              <w:rPr>
                <w:b/>
                <w:bCs/>
              </w:rPr>
              <w:t xml:space="preserve">Allowable Structures and Extent of Enclosure</w:t>
            </w:r>
          </w:p>
        </w:tc>
        <w:tc>
          <w:tcPr/>
          <w:p>
            <w:pPr>
              <w:pStyle w:val="Compact"/>
              <w:jc w:val="left"/>
            </w:pPr>
            <w:r>
              <w:t xml:space="preserve">Not more than 50% of the bonus GFA shall be enclosed (eg kitchen, serving areas) while the remaining bonus GFA areas shall be retained for ORA.</w:t>
            </w:r>
            <w:r>
              <w:br/>
            </w:r>
            <w:r>
              <w:br/>
            </w:r>
            <w:r>
              <w:t xml:space="preserve">These enclosed structures shall be set back from the edge of the building following the 45-degree line taken from the edge of the roof and kept to a height of not more than 5m.</w:t>
            </w:r>
            <w:r>
              <w:br/>
            </w:r>
            <w:r>
              <w:br/>
            </w:r>
            <w:r>
              <w:t xml:space="preserve">If ORAs are proposed on multiple roofs, the extent of enclosed spaces shall be kept to 50% of the bonus GFA for each rooftop ORA.</w:t>
            </w:r>
          </w:p>
        </w:tc>
      </w:tr>
      <w:tr>
        <w:tc>
          <w:tcPr/>
          <w:p>
            <w:pPr>
              <w:pStyle w:val="Compact"/>
              <w:jc w:val="left"/>
            </w:pPr>
            <w:r>
              <w:rPr>
                <w:b/>
                <w:bCs/>
              </w:rPr>
              <w:t xml:space="preserve">Submission Requirements</w:t>
            </w:r>
          </w:p>
        </w:tc>
        <w:tc>
          <w:tcPr/>
          <w:p>
            <w:pPr>
              <w:pStyle w:val="Compact"/>
              <w:jc w:val="left"/>
            </w:pPr>
            <w:r>
              <w:t xml:space="preserve">A Landscape Plan and relevant sections showing the proposed landscaping scheme, pavilion dimensions, planting palette, and soil depth shall be submitted with the Development Application. The plan shall also include:</w:t>
            </w:r>
            <w:r>
              <w:br/>
            </w:r>
            <w:r>
              <w:br/>
            </w:r>
          </w:p>
          <w:p>
            <w:pPr>
              <w:pStyle w:val="Compact"/>
              <w:numPr>
                <w:ilvl w:val="0"/>
                <w:numId w:val="1015"/>
              </w:numPr>
              <w:jc w:val="left"/>
            </w:pPr>
            <w:r>
              <w:t xml:space="preserve">The defined area of the landscaped areas and the outdoor refreshment areas (ORA) proposed on the roof top.</w:t>
            </w:r>
          </w:p>
          <w:p>
            <w:pPr>
              <w:pStyle w:val="Compact"/>
              <w:numPr>
                <w:ilvl w:val="0"/>
                <w:numId w:val="1015"/>
              </w:numPr>
              <w:jc w:val="left"/>
            </w:pPr>
            <w:r>
              <w:t xml:space="preserve">Layout of the permanent planting areas and plant species, and the uses within the landscaped areas eg seating, water feature, planting trough etc to give an indication of how the landscaped area is planned as an area serving the public or building occupants.</w:t>
            </w:r>
          </w:p>
          <w:p>
            <w:pPr>
              <w:pStyle w:val="Compact"/>
              <w:jc w:val="left"/>
            </w:pPr>
            <w:r>
              <w:t xml:space="preserve">Refer to the Landscape Plan example in the Sky Terrace section.</w:t>
            </w:r>
          </w:p>
        </w:tc>
      </w:tr>
    </w:tbl>
    <w:bookmarkEnd w:id="76"/>
    <w:bookmarkEnd w:id="77"/>
    <w:bookmarkEnd w:id="78"/>
    <w:p>
      <w:r>
        <w:pict>
          <v:rect style="width:0;height:1.5pt" o:hralign="center" o:hrstd="t" o:hr="t"/>
        </w:pict>
      </w:r>
    </w:p>
    <w:p>
      <w:pPr>
        <w:pStyle w:val="FirstParagraph"/>
      </w:pPr>
      <w:r>
        <w:rPr>
          <w:i/>
          <w:i/>
          <w:iCs/>
          <w:iCs/>
        </w:rPr>
        <w:t xml:space="preserve">Last updated on 29</w:t>
      </w:r>
      <w:r>
        <w:rPr>
          <w:i/>
          <w:i/>
          <w:i/>
          <w:iCs/>
          <w:iCs/>
          <w:iCs/>
        </w:rPr>
        <w:t xml:space="preserve">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EditorPage.aspx?da=core&amp;id=%7BD612193D-CD30-408A-936F-B92D387F1DF1%7D&amp;ed=FIELD1377060700&amp;vs&amp;la=en&amp;fld=%7BFE78570C-2CEC-4146-BE12-8893370589A4%7D&amp;so=%2Fsitecore%2Fsystem%2FSettings%2FHtml%20Editor%20Profiles%2FRich%20Text%20Full&amp;di=0&amp;hdl=H1377060712&amp;mo&amp;pe=0&amp;fbd=1#" TargetMode="External" /><Relationship Type="http://schemas.openxmlformats.org/officeDocument/2006/relationships/hyperlink" Id="rId29" Target="https://www.nparks.gov.sg/florafaunaweb" TargetMode="External" /><Relationship Type="http://schemas.openxmlformats.org/officeDocument/2006/relationships/hyperlink" Id="rId23" Target="https://www.ura.gov.sg/-/media/Corporate/Guidelines/Development-control/Documents/LUSH-Checklist-For-Private-Developments.pdf" TargetMode="External" /><Relationship Type="http://schemas.openxmlformats.org/officeDocument/2006/relationships/hyperlink" Id="rId24" Target="https://www.ura.gov.sg/-/media/Corporate/Guidelines/Development-control/Documents/LUSH-Checklist-For-Public-Sector-Developments.pdf" TargetMode="External" /><Relationship Type="http://schemas.openxmlformats.org/officeDocument/2006/relationships/hyperlink" Id="rId26" Target="https://www.ura.gov.sg/-/media/Corporate/Guidelines/Development-control/Flats-Condominiums/F09_LandscapeReplacement_Large.jpg" TargetMode="External" /><Relationship Type="http://schemas.openxmlformats.org/officeDocument/2006/relationships/hyperlink" Id="rId25" Target="https://www.ura.gov.sg/-/media/Corporate/Guidelines/Development-control/Flats-Condominiums/F09_Landscape_Replacement_Small.jpg?h=580&amp;w=1000" TargetMode="External" /><Relationship Type="http://schemas.openxmlformats.org/officeDocument/2006/relationships/hyperlink" Id="rId61" Target="https://www.ura.gov.sg/-/media/Corporate/Guidelines/Development-control/Flats-Condominiums/F10_Example_of_Landscape_Plan.jpg" TargetMode="External" /><Relationship Type="http://schemas.openxmlformats.org/officeDocument/2006/relationships/hyperlink" Id="rId60" Target="https://www.ura.gov.sg/-/media/Corporate/Guidelines/Development-control/Flats-Condominiums/F10_Example_of_Landscape_Plan.jpg?h=100%25&amp;w=100%25" TargetMode="External" /><Relationship Type="http://schemas.openxmlformats.org/officeDocument/2006/relationships/hyperlink" Id="rId28" Target="https://www.ura.gov.sg/-/media/Corporate/Guidelines/Development-control/Flats-Condominiums/GnPR_Calculation.png?h=100%25&amp;w=100%25" TargetMode="External" /><Relationship Type="http://schemas.openxmlformats.org/officeDocument/2006/relationships/hyperlink" Id="rId75" Target="https://www.ura.gov.sg/-/media/User-Defined/URA-Online/circulars/2014/jun/dc14-14_App1.pdf" TargetMode="External" /><Relationship Type="http://schemas.openxmlformats.org/officeDocument/2006/relationships/hyperlink" Id="rId30" Target="https://www.ura.gov.sg/-/media/User-Defined/URA-Online/circulars/2014/jun/dc14-lush20/app1-1.pdf" TargetMode="External" /><Relationship Type="http://schemas.openxmlformats.org/officeDocument/2006/relationships/hyperlink" Id="rId34" Target="https://www.ura.gov.sg/-/media/User-Defined/URA-Online/circulars/2014/jun/dc14-lush20/app1-10.pdf" TargetMode="External" /><Relationship Type="http://schemas.openxmlformats.org/officeDocument/2006/relationships/hyperlink" Id="rId35" Target="https://www.ura.gov.sg/-/media/User-Defined/URA-Online/circulars/2014/jun/dc14-lush20/app1-11.pdf" TargetMode="External" /><Relationship Type="http://schemas.openxmlformats.org/officeDocument/2006/relationships/hyperlink" Id="rId36" Target="https://www.ura.gov.sg/-/media/User-Defined/URA-Online/circulars/2014/jun/dc14-lush20/app1-12.pdf" TargetMode="External" /><Relationship Type="http://schemas.openxmlformats.org/officeDocument/2006/relationships/hyperlink" Id="rId37" Target="https://www.ura.gov.sg/-/media/User-Defined/URA-Online/circulars/2014/jun/dc14-lush20/app1-13.pdf" TargetMode="External" /><Relationship Type="http://schemas.openxmlformats.org/officeDocument/2006/relationships/hyperlink" Id="rId38" Target="https://www.ura.gov.sg/-/media/User-Defined/URA-Online/circulars/2014/jun/dc14-lush20/app1-14.pdf" TargetMode="External" /><Relationship Type="http://schemas.openxmlformats.org/officeDocument/2006/relationships/hyperlink" Id="rId39" Target="https://www.ura.gov.sg/-/media/User-Defined/URA-Online/circulars/2014/jun/dc14-lush20/app1-15.pdf" TargetMode="External" /><Relationship Type="http://schemas.openxmlformats.org/officeDocument/2006/relationships/hyperlink" Id="rId41" Target="https://www.ura.gov.sg/-/media/User-Defined/URA-Online/circulars/2014/jun/dc14-lush20/app1-16.pdf" TargetMode="External" /><Relationship Type="http://schemas.openxmlformats.org/officeDocument/2006/relationships/hyperlink" Id="rId43" Target="https://www.ura.gov.sg/-/media/User-Defined/URA-Online/circulars/2014/jun/dc14-lush20/app1-17.pdf" TargetMode="External" /><Relationship Type="http://schemas.openxmlformats.org/officeDocument/2006/relationships/hyperlink" Id="rId44" Target="https://www.ura.gov.sg/-/media/User-Defined/URA-Online/circulars/2014/jun/dc14-lush20/app1-18.pdf" TargetMode="External" /><Relationship Type="http://schemas.openxmlformats.org/officeDocument/2006/relationships/hyperlink" Id="rId45" Target="https://www.ura.gov.sg/-/media/User-Defined/URA-Online/circulars/2014/jun/dc14-lush20/app1-19.pdf" TargetMode="External" /><Relationship Type="http://schemas.openxmlformats.org/officeDocument/2006/relationships/hyperlink" Id="rId42" Target="https://www.ura.gov.sg/-/media/User-Defined/URA-Online/circulars/2014/jun/dc14-lush20/app1-2.pdf" TargetMode="External" /><Relationship Type="http://schemas.openxmlformats.org/officeDocument/2006/relationships/hyperlink" Id="rId47" Target="https://www.ura.gov.sg/-/media/User-Defined/URA-Online/circulars/2014/jun/dc14-lush20/app1-20.pdf" TargetMode="External" /><Relationship Type="http://schemas.openxmlformats.org/officeDocument/2006/relationships/hyperlink" Id="rId48" Target="https://www.ura.gov.sg/-/media/User-Defined/URA-Online/circulars/2014/jun/dc14-lush20/app1-21.pdf" TargetMode="External" /><Relationship Type="http://schemas.openxmlformats.org/officeDocument/2006/relationships/hyperlink" Id="rId49" Target="https://www.ura.gov.sg/-/media/User-Defined/URA-Online/circulars/2014/jun/dc14-lush20/app1-22.pdf" TargetMode="External" /><Relationship Type="http://schemas.openxmlformats.org/officeDocument/2006/relationships/hyperlink" Id="rId50" Target="https://www.ura.gov.sg/-/media/User-Defined/URA-Online/circulars/2014/jun/dc14-lush20/app1-23.pdf" TargetMode="External" /><Relationship Type="http://schemas.openxmlformats.org/officeDocument/2006/relationships/hyperlink" Id="rId52" Target="https://www.ura.gov.sg/-/media/User-Defined/URA-Online/circulars/2014/jun/dc14-lush20/app1-24.pdf" TargetMode="External" /><Relationship Type="http://schemas.openxmlformats.org/officeDocument/2006/relationships/hyperlink" Id="rId54" Target="https://www.ura.gov.sg/-/media/User-Defined/URA-Online/circulars/2014/jun/dc14-lush20/app1-25.pdf" TargetMode="External" /><Relationship Type="http://schemas.openxmlformats.org/officeDocument/2006/relationships/hyperlink" Id="rId40" Target="https://www.ura.gov.sg/-/media/User-Defined/URA-Online/circulars/2014/jun/dc14-lush20/app1-3.pdf" TargetMode="External" /><Relationship Type="http://schemas.openxmlformats.org/officeDocument/2006/relationships/hyperlink" Id="rId51" Target="https://www.ura.gov.sg/-/media/User-Defined/URA-Online/circulars/2014/jun/dc14-lush20/app1-4.pdf" TargetMode="External" /><Relationship Type="http://schemas.openxmlformats.org/officeDocument/2006/relationships/hyperlink" Id="rId46" Target="https://www.ura.gov.sg/-/media/User-Defined/URA-Online/circulars/2014/jun/dc14-lush20/app1-5.pdf" TargetMode="External" /><Relationship Type="http://schemas.openxmlformats.org/officeDocument/2006/relationships/hyperlink" Id="rId53" Target="https://www.ura.gov.sg/-/media/User-Defined/URA-Online/circulars/2014/jun/dc14-lush20/app1-6.pdf" TargetMode="External" /><Relationship Type="http://schemas.openxmlformats.org/officeDocument/2006/relationships/hyperlink" Id="rId31" Target="https://www.ura.gov.sg/-/media/User-Defined/URA-Online/circulars/2014/jun/dc14-lush20/app1-7.pdf" TargetMode="External" /><Relationship Type="http://schemas.openxmlformats.org/officeDocument/2006/relationships/hyperlink" Id="rId32" Target="https://www.ura.gov.sg/-/media/User-Defined/URA-Online/circulars/2014/jun/dc14-lush20/app1-8.pdf" TargetMode="External" /><Relationship Type="http://schemas.openxmlformats.org/officeDocument/2006/relationships/hyperlink" Id="rId33" Target="https://www.ura.gov.sg/-/media/User-Defined/URA-Online/circulars/2014/jun/dc14-lush20/app1-9.pdf" TargetMode="External" /><Relationship Type="http://schemas.openxmlformats.org/officeDocument/2006/relationships/hyperlink" Id="rId70" Target="https://www.ura.gov.sg/Corporate/Guidelines/Development-Control/gross-floor-area" TargetMode="External" /></Relationships>
</file>

<file path=word/_rels/footnotes.xml.rels><?xml version="1.0" encoding="UTF-8"?><Relationships xmlns="http://schemas.openxmlformats.org/package/2006/relationships"><Relationship Type="http://schemas.openxmlformats.org/officeDocument/2006/relationships/hyperlink" Id="rId55" Target="/EditorPage.aspx?da=core&amp;id=%7BD612193D-CD30-408A-936F-B92D387F1DF1%7D&amp;ed=FIELD1377060700&amp;vs&amp;la=en&amp;fld=%7BFE78570C-2CEC-4146-BE12-8893370589A4%7D&amp;so=%2Fsitecore%2Fsystem%2FSettings%2FHtml%20Editor%20Profiles%2FRich%20Text%20Full&amp;di=0&amp;hdl=H1377060712&amp;mo&amp;pe=0&amp;fbd=1#" TargetMode="External" /><Relationship Type="http://schemas.openxmlformats.org/officeDocument/2006/relationships/hyperlink" Id="rId29" Target="https://www.nparks.gov.sg/florafaunaweb" TargetMode="External" /><Relationship Type="http://schemas.openxmlformats.org/officeDocument/2006/relationships/hyperlink" Id="rId23" Target="https://www.ura.gov.sg/-/media/Corporate/Guidelines/Development-control/Documents/LUSH-Checklist-For-Private-Developments.pdf" TargetMode="External" /><Relationship Type="http://schemas.openxmlformats.org/officeDocument/2006/relationships/hyperlink" Id="rId24" Target="https://www.ura.gov.sg/-/media/Corporate/Guidelines/Development-control/Documents/LUSH-Checklist-For-Public-Sector-Developments.pdf" TargetMode="External" /><Relationship Type="http://schemas.openxmlformats.org/officeDocument/2006/relationships/hyperlink" Id="rId26" Target="https://www.ura.gov.sg/-/media/Corporate/Guidelines/Development-control/Flats-Condominiums/F09_LandscapeReplacement_Large.jpg" TargetMode="External" /><Relationship Type="http://schemas.openxmlformats.org/officeDocument/2006/relationships/hyperlink" Id="rId25" Target="https://www.ura.gov.sg/-/media/Corporate/Guidelines/Development-control/Flats-Condominiums/F09_Landscape_Replacement_Small.jpg?h=580&amp;w=1000" TargetMode="External" /><Relationship Type="http://schemas.openxmlformats.org/officeDocument/2006/relationships/hyperlink" Id="rId61" Target="https://www.ura.gov.sg/-/media/Corporate/Guidelines/Development-control/Flats-Condominiums/F10_Example_of_Landscape_Plan.jpg" TargetMode="External" /><Relationship Type="http://schemas.openxmlformats.org/officeDocument/2006/relationships/hyperlink" Id="rId60" Target="https://www.ura.gov.sg/-/media/Corporate/Guidelines/Development-control/Flats-Condominiums/F10_Example_of_Landscape_Plan.jpg?h=100%25&amp;w=100%25" TargetMode="External" /><Relationship Type="http://schemas.openxmlformats.org/officeDocument/2006/relationships/hyperlink" Id="rId28" Target="https://www.ura.gov.sg/-/media/Corporate/Guidelines/Development-control/Flats-Condominiums/GnPR_Calculation.png?h=100%25&amp;w=100%25" TargetMode="External" /><Relationship Type="http://schemas.openxmlformats.org/officeDocument/2006/relationships/hyperlink" Id="rId75" Target="https://www.ura.gov.sg/-/media/User-Defined/URA-Online/circulars/2014/jun/dc14-14_App1.pdf" TargetMode="External" /><Relationship Type="http://schemas.openxmlformats.org/officeDocument/2006/relationships/hyperlink" Id="rId30" Target="https://www.ura.gov.sg/-/media/User-Defined/URA-Online/circulars/2014/jun/dc14-lush20/app1-1.pdf" TargetMode="External" /><Relationship Type="http://schemas.openxmlformats.org/officeDocument/2006/relationships/hyperlink" Id="rId34" Target="https://www.ura.gov.sg/-/media/User-Defined/URA-Online/circulars/2014/jun/dc14-lush20/app1-10.pdf" TargetMode="External" /><Relationship Type="http://schemas.openxmlformats.org/officeDocument/2006/relationships/hyperlink" Id="rId35" Target="https://www.ura.gov.sg/-/media/User-Defined/URA-Online/circulars/2014/jun/dc14-lush20/app1-11.pdf" TargetMode="External" /><Relationship Type="http://schemas.openxmlformats.org/officeDocument/2006/relationships/hyperlink" Id="rId36" Target="https://www.ura.gov.sg/-/media/User-Defined/URA-Online/circulars/2014/jun/dc14-lush20/app1-12.pdf" TargetMode="External" /><Relationship Type="http://schemas.openxmlformats.org/officeDocument/2006/relationships/hyperlink" Id="rId37" Target="https://www.ura.gov.sg/-/media/User-Defined/URA-Online/circulars/2014/jun/dc14-lush20/app1-13.pdf" TargetMode="External" /><Relationship Type="http://schemas.openxmlformats.org/officeDocument/2006/relationships/hyperlink" Id="rId38" Target="https://www.ura.gov.sg/-/media/User-Defined/URA-Online/circulars/2014/jun/dc14-lush20/app1-14.pdf" TargetMode="External" /><Relationship Type="http://schemas.openxmlformats.org/officeDocument/2006/relationships/hyperlink" Id="rId39" Target="https://www.ura.gov.sg/-/media/User-Defined/URA-Online/circulars/2014/jun/dc14-lush20/app1-15.pdf" TargetMode="External" /><Relationship Type="http://schemas.openxmlformats.org/officeDocument/2006/relationships/hyperlink" Id="rId41" Target="https://www.ura.gov.sg/-/media/User-Defined/URA-Online/circulars/2014/jun/dc14-lush20/app1-16.pdf" TargetMode="External" /><Relationship Type="http://schemas.openxmlformats.org/officeDocument/2006/relationships/hyperlink" Id="rId43" Target="https://www.ura.gov.sg/-/media/User-Defined/URA-Online/circulars/2014/jun/dc14-lush20/app1-17.pdf" TargetMode="External" /><Relationship Type="http://schemas.openxmlformats.org/officeDocument/2006/relationships/hyperlink" Id="rId44" Target="https://www.ura.gov.sg/-/media/User-Defined/URA-Online/circulars/2014/jun/dc14-lush20/app1-18.pdf" TargetMode="External" /><Relationship Type="http://schemas.openxmlformats.org/officeDocument/2006/relationships/hyperlink" Id="rId45" Target="https://www.ura.gov.sg/-/media/User-Defined/URA-Online/circulars/2014/jun/dc14-lush20/app1-19.pdf" TargetMode="External" /><Relationship Type="http://schemas.openxmlformats.org/officeDocument/2006/relationships/hyperlink" Id="rId42" Target="https://www.ura.gov.sg/-/media/User-Defined/URA-Online/circulars/2014/jun/dc14-lush20/app1-2.pdf" TargetMode="External" /><Relationship Type="http://schemas.openxmlformats.org/officeDocument/2006/relationships/hyperlink" Id="rId47" Target="https://www.ura.gov.sg/-/media/User-Defined/URA-Online/circulars/2014/jun/dc14-lush20/app1-20.pdf" TargetMode="External" /><Relationship Type="http://schemas.openxmlformats.org/officeDocument/2006/relationships/hyperlink" Id="rId48" Target="https://www.ura.gov.sg/-/media/User-Defined/URA-Online/circulars/2014/jun/dc14-lush20/app1-21.pdf" TargetMode="External" /><Relationship Type="http://schemas.openxmlformats.org/officeDocument/2006/relationships/hyperlink" Id="rId49" Target="https://www.ura.gov.sg/-/media/User-Defined/URA-Online/circulars/2014/jun/dc14-lush20/app1-22.pdf" TargetMode="External" /><Relationship Type="http://schemas.openxmlformats.org/officeDocument/2006/relationships/hyperlink" Id="rId50" Target="https://www.ura.gov.sg/-/media/User-Defined/URA-Online/circulars/2014/jun/dc14-lush20/app1-23.pdf" TargetMode="External" /><Relationship Type="http://schemas.openxmlformats.org/officeDocument/2006/relationships/hyperlink" Id="rId52" Target="https://www.ura.gov.sg/-/media/User-Defined/URA-Online/circulars/2014/jun/dc14-lush20/app1-24.pdf" TargetMode="External" /><Relationship Type="http://schemas.openxmlformats.org/officeDocument/2006/relationships/hyperlink" Id="rId54" Target="https://www.ura.gov.sg/-/media/User-Defined/URA-Online/circulars/2014/jun/dc14-lush20/app1-25.pdf" TargetMode="External" /><Relationship Type="http://schemas.openxmlformats.org/officeDocument/2006/relationships/hyperlink" Id="rId40" Target="https://www.ura.gov.sg/-/media/User-Defined/URA-Online/circulars/2014/jun/dc14-lush20/app1-3.pdf" TargetMode="External" /><Relationship Type="http://schemas.openxmlformats.org/officeDocument/2006/relationships/hyperlink" Id="rId51" Target="https://www.ura.gov.sg/-/media/User-Defined/URA-Online/circulars/2014/jun/dc14-lush20/app1-4.pdf" TargetMode="External" /><Relationship Type="http://schemas.openxmlformats.org/officeDocument/2006/relationships/hyperlink" Id="rId46" Target="https://www.ura.gov.sg/-/media/User-Defined/URA-Online/circulars/2014/jun/dc14-lush20/app1-5.pdf" TargetMode="External" /><Relationship Type="http://schemas.openxmlformats.org/officeDocument/2006/relationships/hyperlink" Id="rId53" Target="https://www.ura.gov.sg/-/media/User-Defined/URA-Online/circulars/2014/jun/dc14-lush20/app1-6.pdf" TargetMode="External" /><Relationship Type="http://schemas.openxmlformats.org/officeDocument/2006/relationships/hyperlink" Id="rId31" Target="https://www.ura.gov.sg/-/media/User-Defined/URA-Online/circulars/2014/jun/dc14-lush20/app1-7.pdf" TargetMode="External" /><Relationship Type="http://schemas.openxmlformats.org/officeDocument/2006/relationships/hyperlink" Id="rId32" Target="https://www.ura.gov.sg/-/media/User-Defined/URA-Online/circulars/2014/jun/dc14-lush20/app1-8.pdf" TargetMode="External" /><Relationship Type="http://schemas.openxmlformats.org/officeDocument/2006/relationships/hyperlink" Id="rId33" Target="https://www.ura.gov.sg/-/media/User-Defined/URA-Online/circulars/2014/jun/dc14-lush20/app1-9.pdf" TargetMode="External" /><Relationship Type="http://schemas.openxmlformats.org/officeDocument/2006/relationships/hyperlink" Id="rId70" Target="https://www.ura.gov.sg/Corporate/Guidelines/Development-Control/gross-floor-ar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2024-05-23T09:32:19Z</dcterms:created>
  <dcterms:modified xsi:type="dcterms:W3CDTF">2024-05-23T09:32:19Z</dcterms:modified>
</cp:coreProperties>
</file>

<file path=docProps/custom.xml><?xml version="1.0" encoding="utf-8"?>
<Properties xmlns="http://schemas.openxmlformats.org/officeDocument/2006/custom-properties" xmlns:vt="http://schemas.openxmlformats.org/officeDocument/2006/docPropsVTypes"/>
</file>