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4"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3"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6"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r>
        <w:br/>
      </w: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hyperlink r:id="rId55"/>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6"/>
    <w:p>
      <w:pPr>
        <w:pStyle w:val="BodyText"/>
      </w:pPr>
      <w:hyperlink w:anchor="LRA-Outside-Strategic-Areas"/>
    </w:p>
    <w:bookmarkStart w:id="57" w:name="X0887e3ea7198614d43993478ad2abef36cf8b11"/>
    <w:p>
      <w:pPr>
        <w:pStyle w:val="Heading4"/>
      </w:pPr>
      <w:r>
        <w:t xml:space="preserve">LRA Guidelines outside the Strategic Areas</w:t>
      </w:r>
    </w:p>
    <w:bookmarkEnd w:id="57"/>
    <w:bookmarkStart w:id="58"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2" w:name="Landscape-Plan"/>
    <w:p>
      <w:pPr>
        <w:pStyle w:val="FirstParagraph"/>
      </w:pPr>
      <w:r>
        <w:t xml:space="preserve">A Landscape Plan for all Landscape Replacement Areas shall be submitted together with the Development Application, as illustrated below.</w:t>
      </w:r>
    </w:p>
    <w:p>
      <w:pPr>
        <w:pStyle w:val="BodyText"/>
      </w:pPr>
      <w:hyperlink r:id="rId60">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1">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2"/>
    <w:bookmarkEnd w:id="63"/>
    <w:bookmarkEnd w:id="64"/>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5" w:name="sky-terraces"/>
    <w:p>
      <w:pPr>
        <w:pStyle w:val="Heading4"/>
      </w:pPr>
      <w:r>
        <w:t xml:space="preserve">Sky Terraces</w:t>
      </w:r>
    </w:p>
    <w:bookmarkEnd w:id="65"/>
    <w:bookmarkStart w:id="66"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60">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1">
        <w:r>
          <w:rPr>
            <w:rStyle w:val="Hyperlink"/>
            <w:i/>
            <w:iCs/>
          </w:rPr>
          <w:t xml:space="preserve">here</w:t>
        </w:r>
      </w:hyperlink>
      <w:r>
        <w:rPr>
          <w:i/>
          <w:iCs/>
        </w:rPr>
        <w:t xml:space="preserve">)</w:t>
      </w:r>
    </w:p>
    <w:bookmarkEnd w:id="66"/>
    <w:p>
      <w:pPr>
        <w:pStyle w:val="BodyText"/>
      </w:pPr>
      <w:hyperlink w:anchor="Communal-Planter-Boxes"/>
    </w:p>
    <w:bookmarkStart w:id="67" w:name="communal-planter-boxes"/>
    <w:p>
      <w:pPr>
        <w:pStyle w:val="Heading4"/>
      </w:pPr>
      <w:r>
        <w:t xml:space="preserve">Communal Planter Boxes</w:t>
      </w:r>
    </w:p>
    <w:bookmarkEnd w:id="67"/>
    <w:bookmarkStart w:id="68"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8"/>
    <w:p>
      <w:pPr>
        <w:pStyle w:val="BodyText"/>
      </w:pPr>
      <w:hyperlink w:anchor="Covered-Communal-Ground-Gardens"/>
    </w:p>
    <w:bookmarkStart w:id="69" w:name="covered-communal-ground-gardens"/>
    <w:p>
      <w:pPr>
        <w:pStyle w:val="Heading4"/>
      </w:pPr>
      <w:r>
        <w:t xml:space="preserve">Covered Communal Ground Gardens</w:t>
      </w:r>
    </w:p>
    <w:bookmarkEnd w:id="69"/>
    <w:bookmarkStart w:id="71"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0">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1"/>
    <w:p>
      <w:pPr>
        <w:pStyle w:val="BodyText"/>
      </w:pPr>
      <w:hyperlink w:anchor="Communal-Pavilions"/>
    </w:p>
    <w:bookmarkStart w:id="72" w:name="communal-pavilions"/>
    <w:p>
      <w:pPr>
        <w:pStyle w:val="Heading4"/>
      </w:pPr>
      <w:r>
        <w:t xml:space="preserve">Communal Pavilions</w:t>
      </w:r>
    </w:p>
    <w:bookmarkEnd w:id="72"/>
    <w:bookmarkStart w:id="73"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r>
              <w:br/>
            </w:r>
          </w:p>
          <w:p>
            <w:pPr>
              <w:pStyle w:val="Compact"/>
              <w:numPr>
                <w:ilvl w:val="0"/>
                <w:numId w:val="1014"/>
              </w:numPr>
              <w:jc w:val="left"/>
            </w:pPr>
            <w:r>
              <w:t xml:space="preserve">Maximum 500sqm* or 50% of roof coverage, whichever is lower.</w:t>
            </w:r>
          </w:p>
          <w:p>
            <w:pPr>
              <w:pStyle w:val="Compact"/>
              <w:numPr>
                <w:ilvl w:val="0"/>
                <w:numId w:val="1014"/>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4"/>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4"/>
              </w:numPr>
              <w:jc w:val="left"/>
            </w:pPr>
            <w:r>
              <w:t xml:space="preserve">Greenery on the rooftop shall be both enjoyable by the building users and visible from the surroundings.</w:t>
            </w:r>
          </w:p>
          <w:p>
            <w:pPr>
              <w:pStyle w:val="Compact"/>
              <w:numPr>
                <w:ilvl w:val="0"/>
                <w:numId w:val="101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3"/>
    <w:p>
      <w:pPr>
        <w:pStyle w:val="BodyText"/>
      </w:pPr>
      <w:hyperlink w:anchor="Bonus-GFA"/>
    </w:p>
    <w:bookmarkStart w:id="74" w:name="Xa129fad2d24660eecdba687c18767bb29b64f88"/>
    <w:p>
      <w:pPr>
        <w:pStyle w:val="Heading4"/>
      </w:pPr>
      <w:r>
        <w:t xml:space="preserve">Bonus GFA for Rooftop ORA on Landscaped Roofs</w:t>
      </w:r>
    </w:p>
    <w:bookmarkEnd w:id="74"/>
    <w:bookmarkStart w:id="76"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75">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5"/>
              </w:numPr>
              <w:jc w:val="left"/>
            </w:pPr>
            <w:r>
              <w:t xml:space="preserve">The defined area of the landscaped areas and the outdoor refreshment areas (ORA) proposed on the roof top.</w:t>
            </w:r>
          </w:p>
          <w:p>
            <w:pPr>
              <w:pStyle w:val="Compact"/>
              <w:numPr>
                <w:ilvl w:val="0"/>
                <w:numId w:val="1015"/>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76"/>
    <w:bookmarkEnd w:id="77"/>
    <w:bookmarkEnd w:id="78"/>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1" Target="/-/media/Corporate/Guidelines/Development-control/Flats-Condominiums/F10_Example_of_Landscape_Plan.jpg" TargetMode="External" /><Relationship Type="http://schemas.openxmlformats.org/officeDocument/2006/relationships/hyperlink" Id="rId75" Target="/-/media/User-Defined/URA-Online/circulars/2014/jun/dc14-14_App1.pdf"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70" Target="/Corporate/Guidelines/Development-Control/gross-floor-area" TargetMode="External" /><Relationship Type="http://schemas.openxmlformats.org/officeDocument/2006/relationships/hyperlink" Id="rId55"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60"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1" Target="/-/media/Corporate/Guidelines/Development-control/Flats-Condominiums/F10_Example_of_Landscape_Plan.jpg" TargetMode="External" /><Relationship Type="http://schemas.openxmlformats.org/officeDocument/2006/relationships/hyperlink" Id="rId75" Target="/-/media/User-Defined/URA-Online/circulars/2014/jun/dc14-14_App1.pdf"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70" Target="/Corporate/Guidelines/Development-Control/gross-floor-area" TargetMode="External" /><Relationship Type="http://schemas.openxmlformats.org/officeDocument/2006/relationships/hyperlink" Id="rId55"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60"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2024-05-23T03:20:33Z</dcterms:created>
  <dcterms:modified xsi:type="dcterms:W3CDTF">2024-05-23T03:20:33Z</dcterms:modified>
</cp:coreProperties>
</file>

<file path=docProps/custom.xml><?xml version="1.0" encoding="utf-8"?>
<Properties xmlns="http://schemas.openxmlformats.org/officeDocument/2006/custom-properties" xmlns:vt="http://schemas.openxmlformats.org/officeDocument/2006/docPropsVTypes"/>
</file>