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r>
        <w:t xml:space="preserve"> </w:t>
      </w:r>
      <w:r>
        <w:rPr>
          <w:b/>
          <w:bCs/>
        </w:rPr>
        <w:t xml:space="preserve">LTA may require the provision of coach parking bays in hotel developments.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5"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4"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bookmarkEnd w:id="26"/>
    <w:p>
      <w:pPr>
        <w:pStyle w:val="BodyText"/>
      </w:pPr>
      <w:hyperlink w:anchor="Surplus"/>
    </w:p>
    <w:bookmarkStart w:id="27" w:name="X2bbb32bee3da7910b2f2c74520d95a9c7103e35"/>
    <w:p>
      <w:pPr>
        <w:pStyle w:val="Heading4"/>
      </w:pPr>
      <w:r>
        <w:t xml:space="preserve">Provision of Surplus Parking in New Developments</w:t>
      </w:r>
    </w:p>
    <w:bookmarkEnd w:id="27"/>
    <w:bookmarkStart w:id="28" w:name="Surplus"/>
    <w:p>
      <w:pPr>
        <w:pStyle w:val="FirstParagraph"/>
      </w:pPr>
      <w:r>
        <w:t xml:space="preserve">New hotel and mixed use</w:t>
      </w:r>
      <w:r>
        <w:rPr>
          <w:vertAlign w:val="superscript"/>
        </w:rPr>
        <w:t xml:space="preserve">2</w:t>
      </w:r>
      <w:r>
        <w:t xml:space="preserve"> </w:t>
      </w:r>
      <w:r>
        <w:t xml:space="preserve">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each surplus car parking lot shall be computed as 35sqm GFA, that being the average area of a car parking lot inclusive of circulation space. Each surplus motor-cycle parking lot shall be computed as 12sqm GFA.</w:t>
      </w:r>
    </w:p>
    <w:p>
      <w:pPr>
        <w:pStyle w:val="BodyText"/>
      </w:pPr>
      <w:r>
        <w:t xml:space="preserve">Additional GFA arising from the surplus car and motor-cycle parking lots may be subject to SLA levying Land Betterment Charge, where applicable.</w:t>
      </w:r>
    </w:p>
    <w:p>
      <w:pPr>
        <w:pStyle w:val="BodyText"/>
      </w:pPr>
      <w:r>
        <w:rPr>
          <w:vertAlign w:val="superscript"/>
        </w:rPr>
        <w:t xml:space="preserve">2</w:t>
      </w:r>
      <w:r>
        <w:t xml:space="preserve"> </w:t>
      </w:r>
      <w:r>
        <w:t xml:space="preserve">Developments with commercial and/or hotel components that form more than 20% of the total GFA</w:t>
      </w:r>
    </w:p>
    <w:bookmarkEnd w:id="28"/>
    <w:p>
      <w:pPr>
        <w:pStyle w:val="BodyText"/>
      </w:pPr>
      <w:hyperlink w:anchor="Conversion"/>
    </w:p>
    <w:bookmarkStart w:id="29" w:name="Xdc06430b05fa1a5d9ba4286b2672a048f032f23"/>
    <w:p>
      <w:pPr>
        <w:pStyle w:val="Heading4"/>
      </w:pPr>
      <w:r>
        <w:t xml:space="preserve">Conversion of Surplus Car Parking in Existing Developments</w:t>
      </w:r>
    </w:p>
    <w:bookmarkEnd w:id="29"/>
    <w:bookmarkStart w:id="33" w:name="Conversion"/>
    <w:p>
      <w:pPr>
        <w:pStyle w:val="FirstParagraph"/>
      </w:pPr>
      <w:r>
        <w:t xml:space="preserve">Existing hotel developments</w:t>
      </w:r>
      <w:r>
        <w:t xml:space="preserve"> </w:t>
      </w:r>
      <w:r>
        <w:rPr>
          <w:b/>
          <w:bCs/>
        </w:rPr>
        <w:t xml:space="preserve">within the</w:t>
      </w:r>
      <w:r>
        <w:rPr>
          <w:b/>
          <w:bCs/>
        </w:rPr>
        <w:t xml:space="preserve"> </w:t>
      </w:r>
      <w:hyperlink r:id="rId30">
        <w:r>
          <w:rPr>
            <w:rStyle w:val="Hyperlink"/>
            <w:b/>
            <w:bCs/>
          </w:rPr>
          <w:t xml:space="preserve">Central Area</w:t>
        </w:r>
      </w:hyperlink>
      <w:r>
        <w:rPr>
          <w:b/>
          <w:bCs/>
        </w:rPr>
        <w:t xml:space="preserve"> </w:t>
      </w:r>
      <w:r>
        <w:rPr>
          <w:b/>
          <w:bCs/>
        </w:rPr>
        <w:t xml:space="preserve">(PDF, 1.02 MB) or within 400m of MRT and LRT stations</w:t>
      </w:r>
      <w:r>
        <w:t xml:space="preserve"> </w:t>
      </w:r>
      <w:r>
        <w:t xml:space="preserve">may be allowed to permanently convert their surplus car parking lots</w:t>
      </w:r>
      <w:r>
        <w:rPr>
          <w:vertAlign w:val="superscript"/>
        </w:rPr>
        <w:t xml:space="preserve">3</w:t>
      </w:r>
      <w:r>
        <w:t xml:space="preserve"> </w:t>
      </w:r>
      <w:r>
        <w:t xml:space="preserve">to other uses.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Additional GFA arising from the conversion may be subject to SLA levying Land Betterment Charge,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p>
      <w:pPr>
        <w:pStyle w:val="BodyText"/>
      </w:pPr>
      <w:r>
        <w:rPr>
          <w:vertAlign w:val="superscript"/>
        </w:rPr>
        <w:t xml:space="preserve">3</w:t>
      </w:r>
      <w:r>
        <w:t xml:space="preserve"> </w:t>
      </w: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rPr>
          <w:b/>
          <w:bCs/>
        </w:rPr>
        <w:t xml:space="preserve">Conversion of Surplus Car Parking Spaces within Central Area</w:t>
      </w:r>
    </w:p>
    <w:p>
      <w:pPr>
        <w:pStyle w:val="BodyText"/>
      </w:pPr>
      <w:r>
        <w:t xml:space="preserve">In line with the planning intention to encourage conversion of office developments to Residential, Hotel and other mixed uses within the CBD, only applications for conversion of existing surplus car parking spaces to non-office uses (see examples in the table below) will be considered in selected areas where</w:t>
      </w:r>
      <w:r>
        <w:t xml:space="preserve"> </w:t>
      </w:r>
      <w:hyperlink r:id="rId31">
        <w:r>
          <w:rPr>
            <w:rStyle w:val="Hyperlink"/>
          </w:rPr>
          <w:t xml:space="preserve">CBD Incentive Scheme </w:t>
        </w:r>
      </w:hyperlink>
      <w:r>
        <w:t xml:space="preserve">applies.</w:t>
      </w:r>
    </w:p>
    <w:p>
      <w:pPr>
        <w:pStyle w:val="BodyText"/>
      </w:pPr>
      <w:r>
        <w:t xml:space="preserve">For the rest of the Central Area, conversion of surplus car parking spaces to non-office uses is also highly encouraged, in line with the planning intention to inject more live-in population in the city.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Locality </w:t>
            </w:r>
          </w:p>
        </w:tc>
        <w:tc>
          <w:tcPr/>
          <w:p>
            <w:pPr>
              <w:pStyle w:val="Compact"/>
              <w:jc w:val="left"/>
            </w:pPr>
            <w:r>
              <w:rPr>
                <w:b/>
                <w:bCs/>
              </w:rPr>
              <w:t xml:space="preserve">Allowable Change-of-Use for Surplus Carparks  </w:t>
            </w:r>
          </w:p>
        </w:tc>
      </w:tr>
      <w:tr>
        <w:tc>
          <w:tcPr/>
          <w:p>
            <w:pPr>
              <w:pStyle w:val="Compact"/>
              <w:jc w:val="left"/>
            </w:pPr>
            <w:hyperlink r:id="rId32">
              <w:r>
                <w:rPr>
                  <w:rStyle w:val="Hyperlink"/>
                </w:rPr>
                <w:t xml:space="preserve">Areas where CBD Incentive Scheme applies</w:t>
              </w:r>
            </w:hyperlink>
            <w:r>
              <w:t xml:space="preserve"> </w:t>
            </w:r>
            <w:r>
              <w:t xml:space="preserve"> </w:t>
            </w:r>
          </w:p>
        </w:tc>
        <w:tc>
          <w:tcPr/>
          <w:p>
            <w:pPr>
              <w:pStyle w:val="Compact"/>
              <w:jc w:val="left"/>
            </w:pPr>
            <w:r>
              <w:t xml:space="preserve">Only non-office uses will be allowed. Examples of possible non-office uses</w:t>
            </w:r>
            <w:r>
              <w:rPr>
                <w:vertAlign w:val="superscript"/>
              </w:rPr>
              <w:t xml:space="preserve">4</w:t>
            </w:r>
            <w:r>
              <w:t xml:space="preserve">:  </w:t>
            </w:r>
            <w:r>
              <w:br/>
            </w:r>
          </w:p>
          <w:p>
            <w:pPr>
              <w:jc w:val="left"/>
            </w:pPr>
            <w:r>
              <w:t xml:space="preserve">a. Residential</w:t>
            </w:r>
            <w:r>
              <w:br/>
            </w:r>
            <w:r>
              <w:t xml:space="preserve">b. Shops e.g. minimart, laundrette, hair salons, etc.</w:t>
            </w:r>
            <w:r>
              <w:br/>
            </w:r>
            <w:r>
              <w:t xml:space="preserve">c. Clinics</w:t>
            </w:r>
            <w:r>
              <w:br/>
            </w:r>
            <w:r>
              <w:t xml:space="preserve">d. Restaurants</w:t>
            </w:r>
            <w:r>
              <w:br/>
            </w:r>
            <w:r>
              <w:t xml:space="preserve">e. Indoor farms</w:t>
            </w:r>
            <w:r>
              <w:br/>
            </w:r>
            <w:r>
              <w:t xml:space="preserve">f. Gymnasium /Fitness centres</w:t>
            </w:r>
            <w:r>
              <w:br/>
            </w:r>
            <w:r>
              <w:t xml:space="preserve">g. Childcare centres</w:t>
            </w:r>
            <w:r>
              <w:br/>
            </w:r>
            <w:r>
              <w:t xml:space="preserve">h. Commercial schools</w:t>
            </w:r>
          </w:p>
          <w:p>
            <w:pPr>
              <w:jc w:val="left"/>
            </w:pPr>
            <w:r>
              <w:rPr>
                <w:vertAlign w:val="superscript"/>
              </w:rPr>
              <w:t xml:space="preserve">4</w:t>
            </w:r>
            <w:r>
              <w:t xml:space="preserve"> </w:t>
            </w:r>
            <w:r>
              <w:t xml:space="preserve">This is not an exhaustive list. Allowable uses will be subject to planning evaluation and will therefore vary from site to site.</w:t>
            </w:r>
          </w:p>
        </w:tc>
      </w:tr>
      <w:tr>
        <w:tc>
          <w:tcPr/>
          <w:p>
            <w:pPr>
              <w:pStyle w:val="Compact"/>
              <w:jc w:val="left"/>
            </w:pPr>
            <w:r>
              <w:t xml:space="preserve">Rest of Central Area  </w:t>
            </w:r>
          </w:p>
        </w:tc>
        <w:tc>
          <w:tcPr/>
          <w:p>
            <w:pPr>
              <w:pStyle w:val="Compact"/>
              <w:jc w:val="left"/>
            </w:pPr>
            <w:r>
              <w:t xml:space="preserve">Non-office uses are highly encouraged.  </w:t>
            </w:r>
          </w:p>
        </w:tc>
      </w:tr>
    </w:tbl>
    <w:bookmarkEnd w:id="33"/>
    <w:bookmarkEnd w:id="34"/>
    <w:bookmarkEnd w:id="35"/>
    <w:p>
      <w:pPr>
        <w:pStyle w:val="BodyText"/>
      </w:pPr>
      <w:hyperlink w:anchor="Bicycle-Parking"/>
    </w:p>
    <w:p>
      <w:pPr>
        <w:pStyle w:val="BodyText"/>
      </w:pPr>
      <w:r>
        <w:t xml:space="preserve">Bicycle Parking</w:t>
      </w:r>
    </w:p>
    <w:bookmarkStart w:id="37" w:name="Bicycle-Parking"/>
    <w:p>
      <w:pPr>
        <w:pStyle w:val="BodyText"/>
      </w:pPr>
      <w:r>
        <w:t xml:space="preserve">To promote a car-lite society, hotel and mixed use developments shall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6" w:name="Bicycle-Parking1"/>
    <w:bookmarkEnd w:id="36"/>
    <w:bookmarkEnd w:id="37"/>
    <w:p>
      <w:pPr>
        <w:pStyle w:val="BodyText"/>
      </w:pPr>
      <w:hyperlink w:anchor="LoadingBay"/>
    </w:p>
    <w:p>
      <w:pPr>
        <w:pStyle w:val="BodyText"/>
      </w:pPr>
      <w:r>
        <w:t xml:space="preserve">Loading Bay</w:t>
      </w:r>
    </w:p>
    <w:bookmarkStart w:id="40" w:name="LoadingBay"/>
    <w:p>
      <w:pPr>
        <w:pStyle w:val="BodyText"/>
      </w:pPr>
      <w:r>
        <w:t xml:space="preserve">We advise all building owners, developers and QPs to refer to the </w:t>
      </w:r>
      <w:hyperlink r:id="rId38">
        <w:r>
          <w:rPr>
            <w:rStyle w:val="Hyperlink"/>
          </w:rPr>
          <w:t xml:space="preserve">Loading Bay Design and Operations Best Practice Guide</w:t>
        </w:r>
      </w:hyperlink>
      <w:r>
        <w:t xml:space="preserve"> when developing new commercial buildings or when redeveloping existing commercial buildings, especially for buildings with large retail components.</w:t>
      </w:r>
    </w:p>
    <w:p>
      <w:pPr>
        <w:pStyle w:val="BodyText"/>
      </w:pPr>
      <w:r>
        <w:t xml:space="preserve">This guide provides information, best practices and recommendations regarding the design and operation of the loading bays within commercial buildings, to achieve the following objectives:</w:t>
      </w:r>
    </w:p>
    <w:p>
      <w:pPr>
        <w:pStyle w:val="Compact"/>
        <w:numPr>
          <w:ilvl w:val="0"/>
          <w:numId w:val="1002"/>
        </w:numPr>
      </w:pPr>
      <w:r>
        <w:t xml:space="preserve">Efficient loading/unloading turnaround time</w:t>
      </w:r>
    </w:p>
    <w:p>
      <w:pPr>
        <w:pStyle w:val="Compact"/>
        <w:numPr>
          <w:ilvl w:val="0"/>
          <w:numId w:val="1002"/>
        </w:numPr>
      </w:pPr>
      <w:r>
        <w:t xml:space="preserve">Improve traffic safety and goods flow</w:t>
      </w:r>
    </w:p>
    <w:p>
      <w:pPr>
        <w:pStyle w:val="Compact"/>
        <w:numPr>
          <w:ilvl w:val="0"/>
          <w:numId w:val="1002"/>
        </w:numPr>
      </w:pPr>
      <w:r>
        <w:t xml:space="preserve">Adapt to changing delivery trends</w:t>
      </w:r>
    </w:p>
    <w:p>
      <w:pPr>
        <w:pStyle w:val="FirstParagraph"/>
      </w:pPr>
      <w:r>
        <w:t xml:space="preserve">In cases where it is difficult to adhere to the good practice for the design and operation of the loading bays, we encourage buildings owners to explore other means to achieve the same design and operation principles.</w:t>
      </w:r>
    </w:p>
    <w:p>
      <w:pPr>
        <w:pStyle w:val="BodyText"/>
      </w:pPr>
      <w:r>
        <w:t xml:space="preserve">The Best Practice Guide supplements the technical agencies’ prevailing Code of Practices, requirements or design standards, which should take precedence.</w:t>
      </w:r>
    </w:p>
    <w:bookmarkStart w:id="39" w:name="LoadingBay1"/>
    <w:bookmarkEnd w:id="39"/>
    <w:bookmarkEnd w:id="40"/>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media/Corporate/Guidelines/Development-control/Circulars/2020/Aug/dc20-06---Appendix.pdf" TargetMode="External" /><Relationship Type="http://schemas.openxmlformats.org/officeDocument/2006/relationships/hyperlink" Id="rId38" Target="/-/media/Corporate/Guidelines/Development-control/Circulars/2020/Jul/dc20-05---Guideline.pdf" TargetMode="External" /><Relationship Type="http://schemas.openxmlformats.org/officeDocument/2006/relationships/hyperlink" Id="rId30" Target="/-/media/Corporate/Guidelines/Development-control/Flats-Condominiums/Central_Area_Map_1.pdf" TargetMode="External" /><Relationship Type="http://schemas.openxmlformats.org/officeDocument/2006/relationships/hyperlink" Id="rId31" Target="/Corporate/Data/circulars/2019/Mar/dc19-04" TargetMode="Externa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32" Target="/-/media/Corporate/Guidelines/Development-control/Circulars/2020/Aug/dc20-06---Appendix.pdf" TargetMode="External" /><Relationship Type="http://schemas.openxmlformats.org/officeDocument/2006/relationships/hyperlink" Id="rId38" Target="/-/media/Corporate/Guidelines/Development-control/Circulars/2020/Jul/dc20-05---Guideline.pdf" TargetMode="External" /><Relationship Type="http://schemas.openxmlformats.org/officeDocument/2006/relationships/hyperlink" Id="rId30" Target="/-/media/Corporate/Guidelines/Development-control/Flats-Condominiums/Central_Area_Map_1.pdf" TargetMode="External" /><Relationship Type="http://schemas.openxmlformats.org/officeDocument/2006/relationships/hyperlink" Id="rId31" Target="/Corporate/Data/circulars/2019/Mar/dc19-04" TargetMode="Externa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2024-05-23T03:20:34Z</dcterms:created>
  <dcterms:modified xsi:type="dcterms:W3CDTF">2024-05-23T03:20:34Z</dcterms:modified>
</cp:coreProperties>
</file>

<file path=docProps/custom.xml><?xml version="1.0" encoding="utf-8"?>
<Properties xmlns="http://schemas.openxmlformats.org/officeDocument/2006/custom-properties" xmlns:vt="http://schemas.openxmlformats.org/officeDocument/2006/docPropsVTypes"/>
</file>