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18f8604b5ba3a1a96d9e8df99e746b02b50b074"/>
    <w:p>
      <w:pPr>
        <w:pStyle w:val="Heading3"/>
      </w:pPr>
      <w:r>
        <w:t xml:space="preserve">Retail Unit Size and Internal Corridor Width</w:t>
      </w:r>
    </w:p>
    <w:p>
      <w:pPr>
        <w:pStyle w:val="FirstParagraph"/>
      </w:pPr>
      <w:r>
        <w:rPr>
          <w:b/>
          <w:bCs/>
        </w:rPr>
        <w:t xml:space="preserve">Retail Unit Size</w:t>
      </w:r>
    </w:p>
    <w:p>
      <w:pPr>
        <w:pStyle w:val="BodyText"/>
      </w:pPr>
      <w:r>
        <w:t xml:space="preserve">The average retail unit size shall not be less than 50sqm. Average retail unit size is determined using the following formula: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Formula to calculate the average retail unit size</w:t>
      </w:r>
    </w:p>
    <w:p>
      <w:pPr>
        <w:pStyle w:val="BodyText"/>
      </w:pPr>
      <w:r>
        <w:t xml:space="preserve">The width requirements for internal corridor are dependent on the number of commercial units it serves, and are detailed in the table below.</w:t>
      </w:r>
    </w:p>
    <w:p>
      <w:pPr>
        <w:pStyle w:val="BodyText"/>
      </w:pPr>
      <w:r>
        <w:rPr>
          <w:b/>
          <w:bCs/>
        </w:rPr>
        <w:t xml:space="preserve">Internal Corridor Width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Type of Corridor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Main Corridor</w:t>
            </w:r>
            <w:r>
              <w:br/>
            </w:r>
            <w:r>
              <w:rPr>
                <w:b/>
                <w:bCs/>
              </w:rPr>
              <w:t xml:space="preserve">(with expected high footfall)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Other Corridor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Single Loaded</w:t>
            </w:r>
            <w:r>
              <w:br/>
            </w:r>
            <w:r>
              <w:t xml:space="preserve">(single row of retail units)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2.4m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Loaded</w:t>
            </w:r>
            <w:r>
              <w:br/>
            </w:r>
            <w:r>
              <w:t xml:space="preserve">(retail units on both sides)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3.0m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2.4m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A wider corridor width may be required for corridors with expected heavy pedestrian traffic.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3"/>
    <w:bookmarkStart w:id="25" w:name="column_0_right_1_txtTitle"/>
    <w:bookmarkStart w:id="24" w:name="section"/>
    <w:p>
      <w:pPr>
        <w:pStyle w:val="Heading3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2024-05-23T00:52:08Z</dcterms:created>
  <dcterms:modified xsi:type="dcterms:W3CDTF">2024-05-23T00:52:08Z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