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bookmarkEnd w:id="23"/>
    <w:bookmarkStart w:id="25" w:name="column_0_right_1_txtTitle"/>
    <w:bookmarkStart w:id="24" w:name="section"/>
    <w:p>
      <w:pPr>
        <w:pStyle w:val="Heading3"/>
      </w:pPr>
    </w:p>
    <w:bookmarkEnd w:id="24"/>
    <w:bookmarkEnd w:id="25"/>
    <w:p>
      <w:pPr>
        <w:pStyle w:val="FirstParagraph"/>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PW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Storey-Height"/>
    </w:p>
    <w:p>
      <w:pPr>
        <w:pStyle w:val="BodyText"/>
      </w:pPr>
      <w:r>
        <w:t xml:space="preserve">Storey Height</w:t>
      </w:r>
    </w:p>
    <w:bookmarkStart w:id="29" w:name="Storey-Height"/>
    <w:p>
      <w:pPr>
        <w:pStyle w:val="BodyText"/>
      </w:pPr>
      <w:r>
        <w:t xml:space="preserve">The allowable number of storeys for the PW shall take into account the character of the surrounding area. As a guide, depending on the allowable GPR, the corresponding number of storeys are shown in the table below. The actual number of storeys allowed may vary, depending on the site topography, site condition and the context of the surrounding area.</w:t>
      </w:r>
    </w:p>
    <w:p>
      <w:pPr>
        <w:pStyle w:val="BodyText"/>
      </w:pPr>
      <w:r>
        <w:rPr>
          <w:b/>
          <w:bCs/>
        </w:rPr>
        <w:t xml:space="preserve">Allowable Storey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Storey Height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4 storeys</w:t>
            </w:r>
          </w:p>
        </w:tc>
      </w:tr>
      <w:tr>
        <w:tc>
          <w:tcPr/>
          <w:p>
            <w:pPr>
              <w:pStyle w:val="Compact"/>
              <w:jc w:val="left"/>
            </w:pPr>
            <w:r>
              <w:t xml:space="preserve">Within HDB estates and in areas with residential GPR more than 1.4</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or at the fringe of industrial estates</w:t>
            </w:r>
          </w:p>
        </w:tc>
        <w:tc>
          <w:tcPr/>
          <w:p>
            <w:pPr>
              <w:pStyle w:val="Compact"/>
              <w:jc w:val="left"/>
            </w:pPr>
            <w:r>
              <w:t xml:space="preserve">For PWs of GPR less than or equal to 1.4, up to 4 storeys</w:t>
            </w:r>
            <w:r>
              <w:br/>
            </w:r>
            <w:r>
              <w:br/>
            </w:r>
            <w:r>
              <w:t xml:space="preserve">For PWs of GPR more than 1.4 and less than or equal to 1.6, up to 5 storeys within a 25m envelope control that includes the attic</w:t>
            </w:r>
            <w:r>
              <w:t xml:space="preserve">. An additional height allowance of up to 5m may be granted if purpose-built above-ground car park floors are provided. The additional height allowance shall be designed sensitively and shall be subject to detailed evaluation.</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bookmarkStart w:id="28" w:name="Storey-Height1"/>
    <w:bookmarkEnd w:id="28"/>
    <w:bookmarkEnd w:id="29"/>
    <w:p>
      <w:pPr>
        <w:pStyle w:val="BodyText"/>
      </w:pPr>
      <w:hyperlink w:anchor="Floor-to-Floor-Height"/>
    </w:p>
    <w:p>
      <w:pPr>
        <w:pStyle w:val="BodyText"/>
      </w:pPr>
      <w:r>
        <w:t xml:space="preserve">Floor-to-Floor Height</w:t>
      </w:r>
    </w:p>
    <w:bookmarkStart w:id="31" w:name="Floor-to-Floor-Height"/>
    <w:p>
      <w:pPr>
        <w:pStyle w:val="BodyText"/>
      </w:pPr>
      <w:r>
        <w:t xml:space="preserve">The maximum floor-to-floor height of PW developments is 5.0m.</w:t>
      </w:r>
    </w:p>
    <w:bookmarkStart w:id="30" w:name="Floor-to-Floor-Height1"/>
    <w:bookmarkEnd w:id="30"/>
    <w:bookmarkEnd w:id="31"/>
    <w:p>
      <w:r>
        <w:pict>
          <v:rect style="width:0;height:1.5pt" o:hralign="center" o:hrstd="t" o:hr="t"/>
        </w:pict>
      </w:r>
    </w:p>
    <w:p>
      <w:pPr>
        <w:pStyle w:val="FirstParagraph"/>
      </w:pPr>
      <w:r>
        <w:rPr>
          <w:i/>
          <w:iCs/>
        </w:rPr>
        <w:t xml:space="preserve">Last updated on 4 December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