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ligious-symbols"/>
    <w:p>
      <w:pPr>
        <w:pStyle w:val="Heading3"/>
      </w:pPr>
      <w:r>
        <w:t xml:space="preserve">Religious Symbols</w:t>
      </w:r>
    </w:p>
    <w:p>
      <w:pPr>
        <w:pStyle w:val="FirstParagraph"/>
      </w:pPr>
      <w:hyperlink r:id="rId20">
        <w:r>
          <w:rPr>
            <w:rStyle w:val="Hyperlink"/>
          </w:rPr>
          <w:t xml:space="preserve">https://ura.gov.sg/-/media/Corporate/Guidelines/Development-control/Others/PW04_Height_Religious_Symbol.jpg?h=100%25&amp;w=100%25</w:t>
        </w:r>
      </w:hyperlink>
    </w:p>
    <w:p>
      <w:pPr>
        <w:pStyle w:val="BodyText"/>
      </w:pPr>
      <w:r>
        <w:rPr>
          <w:i/>
          <w:iCs/>
        </w:rPr>
        <w:t xml:space="preserve">Height of religious symbols</w:t>
      </w:r>
    </w:p>
    <w:p>
      <w:pPr>
        <w:pStyle w:val="BodyText"/>
      </w:pPr>
      <w:r>
        <w:t xml:space="preserve">Religious symbols like crosses, minarets or statues shall not be overly large such that they become a dominant feature of the PW. It shall be kept no taller than the allowable number of storeys. If it is mounted on the roof, it shall not be higher than 5.0m from the roof level.</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PW04_Height_Religious_Symbol.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PW04_Height_Religious_Symbol.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