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onus-gfa-incentive-schemes"/>
    <w:p>
      <w:pPr>
        <w:pStyle w:val="Heading3"/>
      </w:pPr>
      <w:r>
        <w:t xml:space="preserve">Bonus GFA Incentive Schemes</w:t>
      </w:r>
    </w:p>
    <w:p>
      <w:pPr>
        <w:pStyle w:val="FirstParagraph"/>
      </w:pPr>
      <w:r>
        <w:t xml:space="preserve">The Bonus GFA scheme applicable to Sports and Recreation is: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X0b099345e62314b3b63f57f954f98c08d1530cb"/>
    </w:p>
    <w:p>
      <w:pPr>
        <w:pStyle w:val="BodyText"/>
      </w:pPr>
      <w:r>
        <w:t xml:space="preserve">ORA within Privately-Owned Public Spaces (POPS)</w:t>
      </w:r>
    </w:p>
    <w:bookmarkStart w:id="25" w:name="X0b099345e62314b3b63f57f954f98c08d1530cb"/>
    <w:p>
      <w:pPr>
        <w:pStyle w:val="BodyText"/>
      </w:pPr>
      <w:r>
        <w:t xml:space="preserve">Refer to section on</w:t>
      </w:r>
      <w:r>
        <w:t xml:space="preserve"> </w:t>
      </w:r>
      <w:hyperlink r:id="rId23">
        <w:r>
          <w:rPr>
            <w:rStyle w:val="Hyperlink"/>
          </w:rPr>
          <w:t xml:space="preserve">POPS</w:t>
        </w:r>
      </w:hyperlink>
      <w:r>
        <w:t xml:space="preserve">.</w:t>
      </w:r>
    </w:p>
    <w:p>
      <w:pPr>
        <w:pStyle w:val="BodyText"/>
      </w:pPr>
      <w:r>
        <w:t xml:space="preserve"> </w:t>
      </w:r>
    </w:p>
    <w:bookmarkStart w:id="24" w:name="Xefa78eb8983c7d4b613dbdab5b6fc50f3e6bb17"/>
    <w:bookmarkEnd w:id="24"/>
    <w:bookmarkEnd w:id="25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7 July 2022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/Corporate/Guidelines/Development-Control/gross-floor-area/GFA/Privately-OwnedPublicSpacesPOP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/Corporate/Guidelines/Development-Control/gross-floor-area/GFA/Privately-OwnedPublicSpacesPOP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2024-05-23T00:52:12Z</dcterms:created>
  <dcterms:modified xsi:type="dcterms:W3CDTF">2024-05-23T00:52:12Z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