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lf-courses"/>
    <w:p>
      <w:pPr>
        <w:pStyle w:val="Heading3"/>
      </w:pPr>
      <w:r>
        <w:t xml:space="preserve">Golf Courses</w:t>
      </w:r>
    </w:p>
    <w:p>
      <w:pPr>
        <w:pStyle w:val="FirstParagraph"/>
      </w:pPr>
      <w:r>
        <w:t xml:space="preserve">Golf courses may vary in size from a 9-hole, 18-hole to 36-hole course. They may be a public or private golf course. Most of them would have facilities for a driving range, a clubhouse, chalets, guesthouses, other ancillary recreational facilities and limited commercial uses. The ancillary and limited commercial uses may be considered subject to the following requirements: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Guest-House"/>
    </w:p>
    <w:p>
      <w:pPr>
        <w:pStyle w:val="BodyText"/>
      </w:pPr>
      <w:r>
        <w:t xml:space="preserve">Guest Houses or Chalets</w:t>
      </w:r>
    </w:p>
    <w:bookmarkStart w:id="24" w:name="Guest-House"/>
    <w:p>
      <w:pPr>
        <w:pStyle w:val="BodyText"/>
      </w:pPr>
      <w:r>
        <w:t xml:space="preserve">Chalets and guest houses are accommodation facilities provided within the golf courses. They shall not exceed 30% of the total proposed GFA or 10,000sqm, whichever is the lower.</w:t>
      </w:r>
    </w:p>
    <w:p>
      <w:pPr>
        <w:pStyle w:val="BodyText"/>
      </w:pPr>
      <w:r>
        <w:t xml:space="preserve">These facilities may be subject to SLA levying Land Betterment Charge, where applicable.</w:t>
      </w:r>
    </w:p>
    <w:bookmarkStart w:id="23" w:name="Guest-House1"/>
    <w:bookmarkEnd w:id="23"/>
    <w:bookmarkEnd w:id="24"/>
    <w:p>
      <w:pPr>
        <w:pStyle w:val="BodyText"/>
      </w:pPr>
      <w:hyperlink w:anchor="Commercial-Uses"/>
    </w:p>
    <w:p>
      <w:pPr>
        <w:pStyle w:val="BodyText"/>
      </w:pPr>
      <w:r>
        <w:t xml:space="preserve">Commercial Uses</w:t>
      </w:r>
    </w:p>
    <w:bookmarkStart w:id="26" w:name="Commercial-Uses"/>
    <w:p>
      <w:pPr>
        <w:pStyle w:val="BodyText"/>
      </w:pPr>
      <w:r>
        <w:t xml:space="preserve">Commercial uses such as restaurants, bars and lounges, outdoor refreshment areas, canteens, saloons and pro shops shall not exceed 30% of the total proposed GFA or 4,000sqm, whichever is lower.</w:t>
      </w:r>
    </w:p>
    <w:p>
      <w:pPr>
        <w:pStyle w:val="BodyText"/>
      </w:pPr>
      <w:r>
        <w:t xml:space="preserve">SLA may assess such commercial uses based on Group A (Commercial) rate for the purpose of computing Land Betterment Charge, where applicable.</w:t>
      </w:r>
    </w:p>
    <w:bookmarkStart w:id="25" w:name="Commercial-Uses1"/>
    <w:bookmarkEnd w:id="25"/>
    <w:bookmarkEnd w:id="26"/>
    <w:p>
      <w:pPr>
        <w:pStyle w:val="BodyText"/>
      </w:pPr>
      <w:hyperlink w:anchor="Subdivision"/>
    </w:p>
    <w:p>
      <w:pPr>
        <w:pStyle w:val="BodyText"/>
      </w:pPr>
      <w:r>
        <w:t xml:space="preserve">Subdivision</w:t>
      </w:r>
    </w:p>
    <w:bookmarkStart w:id="28" w:name="Subdivision"/>
    <w:p>
      <w:pPr>
        <w:pStyle w:val="BodyText"/>
      </w:pPr>
      <w:r>
        <w:t xml:space="preserve">Land or strata-subdivision is not allowed for golf course developments, including any allowable commercial and ancillary guest house/chalet facilities.</w:t>
      </w:r>
    </w:p>
    <w:bookmarkStart w:id="27" w:name="Subdivision1"/>
    <w:bookmarkEnd w:id="27"/>
    <w:bookmarkEnd w:id="2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21 November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2024-05-23T09:32:30Z</dcterms:created>
  <dcterms:modified xsi:type="dcterms:W3CDTF">2024-05-23T09:32:30Z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