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Building Height</w:t>
      </w:r>
    </w:p>
    <w:bookmarkEnd w:id="23"/>
    <w:bookmarkStart w:id="25" w:name="column_0_right_1_txtTitle"/>
    <w:bookmarkStart w:id="24" w:name="section"/>
    <w:p>
      <w:pPr>
        <w:pStyle w:val="Heading3"/>
      </w:pPr>
    </w:p>
    <w:bookmarkEnd w:id="24"/>
    <w:bookmarkEnd w:id="25"/>
    <w:p>
      <w:pPr>
        <w:pStyle w:val="FirstParagraph"/>
      </w:pPr>
      <w:hyperlink w:anchor="Table-1"/>
    </w:p>
    <w:p>
      <w:pPr>
        <w:pStyle w:val="BodyText"/>
      </w:pPr>
      <w:r>
        <w:t xml:space="preserve">Overall Building Height</w:t>
      </w:r>
    </w:p>
    <w:bookmarkStart w:id="27" w:name="Table-1"/>
    <w:p>
      <w:pPr>
        <w:pStyle w:val="BodyText"/>
      </w:pPr>
      <w:r>
        <w:t xml:space="preserve">Unless otherwise stated, the overall building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of S&amp;R developments is subject to compliance with the technical height controls of the relevant agencies such as Civil Aviation Authority of Singapore (CAAS) and the Defence Science and Technology Agency (DSTA).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 Building height is based on Singapore Height Datum (SHD). </w:t>
      </w:r>
    </w:p>
    <w:bookmarkStart w:id="26" w:name="Table-11"/>
    <w:bookmarkEnd w:id="26"/>
    <w:bookmarkEnd w:id="27"/>
    <w:p>
      <w:pPr>
        <w:pStyle w:val="BodyText"/>
      </w:pPr>
      <w:hyperlink w:anchor="Floor-to-Floor"/>
    </w:p>
    <w:p>
      <w:pPr>
        <w:pStyle w:val="BodyText"/>
      </w:pPr>
      <w:r>
        <w:t xml:space="preserve">Floor-to-Floor Height</w:t>
      </w:r>
    </w:p>
    <w:bookmarkStart w:id="29" w:name="Floor-to-Floor"/>
    <w:p>
      <w:pPr>
        <w:pStyle w:val="BodyText"/>
      </w:pPr>
      <w:r>
        <w:t xml:space="preserve">There is no floor-to-floor height control for S&amp;R developments.</w:t>
      </w:r>
    </w:p>
    <w:bookmarkStart w:id="28" w:name="Floor-to-Floor1"/>
    <w:bookmarkEnd w:id="28"/>
    <w:bookmarkEnd w:id="29"/>
    <w:p>
      <w:pPr>
        <w:pStyle w:val="BodyText"/>
      </w:pPr>
      <w:hyperlink w:anchor="Sky-Terrace"/>
    </w:p>
    <w:p>
      <w:pPr>
        <w:pStyle w:val="BodyText"/>
      </w:pPr>
      <w:r>
        <w:t xml:space="preserve">Additional Height for Predominant Sky Terrace Storey</w:t>
      </w:r>
    </w:p>
    <w:bookmarkStart w:id="34" w:name="Sky-Terrace"/>
    <w:p>
      <w:pPr>
        <w:pStyle w:val="BodyText"/>
      </w:pPr>
      <w:r>
        <w:drawing>
          <wp:inline>
            <wp:extent cx="9525" cy="9525"/>
            <wp:effectExtent b="0" l="0" r="0" t="0"/>
            <wp:docPr descr="Additional height for sky terrace floors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 </w:t>
      </w:r>
    </w:p>
    <w:p>
      <w:pPr>
        <w:pStyle w:val="BodyText"/>
      </w:pPr>
      <w:r>
        <w:t xml:space="preserve">If the proposed number of storeys in the development is more than 7 storeys, S&amp;R developments with PSTS may be allowed additional building height depending on the number of storeys proposed as shown in the table below:</w:t>
      </w:r>
    </w:p>
    <w:p>
      <w:pPr>
        <w:pStyle w:val="BodyText"/>
      </w:pPr>
      <w:r>
        <w:rPr>
          <w:b/>
          <w:bCs/>
        </w:rPr>
        <w:t xml:space="preserve">Additional Building Height based on Proposed Storey Height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1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1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1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 to (a) – (c), any additional building height will be subject to evaluation for developments adjacent to conserved buildings or in</w:t>
      </w:r>
      <w:r>
        <w:t xml:space="preserve"> </w:t>
      </w:r>
      <w:hyperlink r:id="rId32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3" w:name="Sky-Terrace1"/>
    <w:bookmarkEnd w:id="33"/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/Corporate/Guidelines/Urban-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/Corporate/Guidelines/Urban-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2024-05-23T00:52:13Z</dcterms:created>
  <dcterms:modified xsi:type="dcterms:W3CDTF">2024-05-23T00:52:13Z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