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https://www.ura.gov.sg/-/media/Corporate/Guidelines/Development-control/Others/SR02_Road_Buffer_Setbacks.jpg?h=100%25&amp;w=100%25</w:t>
        </w:r>
      </w:hyperlink>
    </w:p>
    <w:p>
      <w:pPr>
        <w:pStyle w:val="BodyText"/>
      </w:pPr>
      <w:r>
        <w:rPr>
          <w:i/>
          <w:iCs/>
        </w:rPr>
        <w:t xml:space="preserve">Setback Requirements</w:t>
      </w:r>
    </w:p>
    <w:p>
      <w:pPr>
        <w:pStyle w:val="BodyText"/>
      </w:pPr>
      <w:r>
        <w:t xml:space="preserve">All S&amp;R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 excluding land to be vested to the State for road and/or drainage purpose.</w:t>
      </w:r>
    </w:p>
    <w:p>
      <w:pPr>
        <w:pStyle w:val="BodyText"/>
      </w:pPr>
      <w:r>
        <w:t xml:space="preserve">All S&amp;R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 Different setback requirements may apply for sites within the Geylang area or the Central Area, both of which are guided by Urban Design guidelines.</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Table 1: Road Buffer, Green Buffer</w:t>
      </w:r>
    </w:p>
    <w:bookmarkStart w:id="25" w:name="Table-1"/>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p>
      <w:pPr>
        <w:pStyle w:val="BodyText"/>
      </w:pPr>
      <w:r>
        <w:br/>
      </w:r>
    </w:p>
    <w:bookmarkStart w:id="24" w:name="Table-11"/>
    <w:bookmarkEnd w:id="24"/>
    <w:bookmarkEnd w:id="25"/>
    <w:p>
      <w:pPr>
        <w:pStyle w:val="BodyText"/>
      </w:pPr>
      <w:hyperlink w:anchor="Table-2"/>
    </w:p>
    <w:p>
      <w:pPr>
        <w:pStyle w:val="BodyText"/>
      </w:pPr>
      <w:r>
        <w:t xml:space="preserve">Table 2: Common Boundary Setback &amp; Planting Strip</w:t>
      </w:r>
    </w:p>
    <w:bookmarkStart w:id="27"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Building Setback Requirement</w:t>
            </w:r>
          </w:p>
        </w:tc>
      </w:tr>
      <w:tr>
        <w:tc>
          <w:tcPr/>
          <w:p>
            <w:pPr>
              <w:pStyle w:val="Compact"/>
              <w:jc w:val="center"/>
            </w:pPr>
            <w:r>
              <w:t xml:space="preserve">Common boundary with other developments</w:t>
            </w:r>
          </w:p>
        </w:tc>
        <w:tc>
          <w:tcPr/>
          <w:p>
            <w:pPr>
              <w:pStyle w:val="Compact"/>
              <w:jc w:val="center"/>
            </w:pPr>
            <w:r>
              <w:t xml:space="preserve">Minimum 4.5m</w:t>
            </w:r>
            <w:r>
              <w:br/>
            </w:r>
            <w:r>
              <w:t xml:space="preserve">(including 2m planting strip)</w:t>
            </w:r>
          </w:p>
        </w:tc>
      </w:tr>
    </w:tbl>
    <w:bookmarkStart w:id="26" w:name="Table-21"/>
    <w:bookmarkEnd w:id="26"/>
    <w:bookmarkEnd w:id="27"/>
    <w:p>
      <w:pPr>
        <w:pStyle w:val="BodyText"/>
      </w:pPr>
      <w:hyperlink w:anchor="Building-Appendages"/>
    </w:p>
    <w:p>
      <w:pPr>
        <w:pStyle w:val="BodyText"/>
      </w:pPr>
      <w:r>
        <w:t xml:space="preserve">Table 3: Setback for Building Appendages</w:t>
      </w:r>
    </w:p>
    <w:bookmarkStart w:id="29"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28" w:name="Building-Appendages1"/>
    <w:bookmarkEnd w:id="28"/>
    <w:bookmarkEnd w:id="29"/>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Others/SR02_Road_Buffer_Setback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Others/SR02_Road_Buffer_Setback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2024-05-23T09:32:33Z</dcterms:created>
  <dcterms:modified xsi:type="dcterms:W3CDTF">2024-05-23T09:32:33Z</dcterms:modified>
</cp:coreProperties>
</file>

<file path=docProps/custom.xml><?xml version="1.0" encoding="utf-8"?>
<Properties xmlns="http://schemas.openxmlformats.org/officeDocument/2006/custom-properties" xmlns:vt="http://schemas.openxmlformats.org/officeDocument/2006/docPropsVTypes"/>
</file>