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gross-plot-ratio"/>
    <w:p>
      <w:pPr>
        <w:pStyle w:val="Heading3"/>
      </w:pPr>
      <w:r>
        <w:t xml:space="preserve">Gross Plot Ratio</w:t>
      </w:r>
    </w:p>
    <w:p>
      <w:pPr>
        <w:pStyle w:val="FirstParagraph"/>
      </w:pPr>
      <w:r>
        <w:t xml:space="preserve">The allowable Gross Plot Ratio (GPR) is subject to evaluation, taking into consideration the location, site context, topography, traffic situation, impact of the Transport development on the surroundings and other agencies’ requirements.</w:t>
      </w:r>
    </w:p>
    <w:p>
      <w:pPr>
        <w:pStyle w:val="BodyText"/>
      </w:pPr>
      <w:r>
        <w:t xml:space="preserve">The area of the land required to be set aside for drainage reserve</w:t>
      </w:r>
      <w:r>
        <w:rPr>
          <w:vertAlign w:val="superscript"/>
        </w:rPr>
        <w:t xml:space="preserve">1</w:t>
      </w:r>
      <w:r>
        <w:t xml:space="preserve"> </w:t>
      </w:r>
      <w:r>
        <w:t xml:space="preserve">(DR) and/or road reserve</w:t>
      </w:r>
      <w:r>
        <w:rPr>
          <w:vertAlign w:val="superscript"/>
        </w:rPr>
        <w:t xml:space="preserve">2</w:t>
      </w:r>
      <w:r>
        <w:t xml:space="preserve"> </w:t>
      </w:r>
      <w:r>
        <w:t xml:space="preserve">(RR) to be vested in the State may be included in the site area to compute the gross floor area (GFA) for a GPR – see figure below.</w:t>
      </w:r>
    </w:p>
    <w:p>
      <w:pPr>
        <w:pStyle w:val="BodyText"/>
      </w:pPr>
      <w:r>
        <w:rPr>
          <w:vertAlign w:val="superscript"/>
        </w:rPr>
        <w:t xml:space="preserve">1</w:t>
      </w:r>
      <w:r>
        <w:t xml:space="preserve"> </w:t>
      </w:r>
      <w:r>
        <w:rPr>
          <w:b/>
          <w:bCs/>
        </w:rPr>
        <w:t xml:space="preserve">Drainage Reserve (DR)</w:t>
      </w:r>
      <w:r>
        <w:t xml:space="preserve">: An area safeguarded for purposes of building or widening a public drain</w:t>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hyperlink r:id="rId20">
        <w:r>
          <w:rPr>
            <w:rStyle w:val="Hyperlink"/>
          </w:rPr>
          <w:t xml:space="preserve">https://www.ura.gov.sg/-/media/Corporate/Guidelines/Development-control/Flats-Condominiums/F01_Gross_Plot_Ratio.jpg?h=100%25&amp;w=100%25</w:t>
        </w:r>
      </w:hyperlink>
    </w:p>
    <w:p>
      <w:pPr>
        <w:pStyle w:val="BodyText"/>
      </w:pPr>
      <w:r>
        <w:rPr>
          <w:i/>
          <w:iCs/>
        </w:rPr>
        <w:t xml:space="preserve">GPR for sites where vesting is required</w:t>
      </w:r>
    </w:p>
    <w:p>
      <w:r>
        <w:pict>
          <v:rect style="width:0;height:1.5pt" o:hralign="center" o:hrstd="t" o:hr="t"/>
        </w:pict>
      </w:r>
    </w:p>
    <w:p>
      <w:pPr>
        <w:pStyle w:val="FirstParagraph"/>
      </w:pPr>
      <w:r>
        <w:rPr>
          <w:i/>
          <w:iCs/>
        </w:rPr>
        <w:t xml:space="preserve">Last updated on 5 July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Flats-Condominiums/F01_Gross_Plot_Ratio.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Flats-Condominiums/F01_Gross_Plot_Ratio.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2024-05-23T09:32:35Z</dcterms:created>
  <dcterms:modified xsi:type="dcterms:W3CDTF">2024-05-23T09:32:35Z</dcterms:modified>
</cp:coreProperties>
</file>

<file path=docProps/custom.xml><?xml version="1.0" encoding="utf-8"?>
<Properties xmlns="http://schemas.openxmlformats.org/officeDocument/2006/custom-properties" xmlns:vt="http://schemas.openxmlformats.org/officeDocument/2006/docPropsVTypes"/>
</file>