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introduction"/>
    <w:p>
      <w:pPr>
        <w:pStyle w:val="Heading3"/>
      </w:pPr>
      <w:r>
        <w:t xml:space="preserve">Introduction</w:t>
      </w:r>
    </w:p>
    <w:p>
      <w:pPr>
        <w:pStyle w:val="FirstParagraph"/>
      </w:pPr>
      <w:r>
        <w:t xml:space="preserve">Transport uses comprising bus depots, MRT depots, petrol stations, CNG depots are zoned “Transport Facilities” in the Master Plan.</w:t>
      </w:r>
    </w:p>
    <w:p>
      <w:pPr>
        <w:pStyle w:val="BodyText"/>
      </w:pPr>
      <w:r>
        <w:t xml:space="preserve">Except for petrol station developments, all other transport uses or developments share similar planning parameters and guidelines. Refer</w:t>
      </w:r>
      <w:r>
        <w:t xml:space="preserve"> </w:t>
      </w:r>
      <w:hyperlink r:id="rId20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for their planning parameters and guidelines of petrol stations.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Last updated on 5 July 2019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/Corporate/Guidelines/Development-Control/Non-Residential/Transport/Petrol-Statio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/Corporate/Guidelines/Development-Control/Non-Residential/Transport/Petrol-Stati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2024-05-23T00:52:15Z</dcterms:created>
  <dcterms:modified xsi:type="dcterms:W3CDTF">2024-05-23T00:52:15Z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