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etrol-station-developments"/>
    <w:p>
      <w:pPr>
        <w:pStyle w:val="Heading3"/>
      </w:pPr>
      <w:r>
        <w:t xml:space="preserve">Petrol Station Developments</w:t>
      </w:r>
    </w:p>
    <w:p>
      <w:pPr>
        <w:pStyle w:val="FirstParagraph"/>
      </w:pPr>
      <w:r>
        <w:drawing>
          <wp:inline>
            <wp:extent cx="9525" cy="9525"/>
            <wp:effectExtent b="0" l="0" r="0" t="0"/>
            <wp:docPr descr="Guidelines for petrol stations"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Guidelines for Petrol Stations</w:t>
      </w:r>
    </w:p>
    <w:p>
      <w:pPr>
        <w:pStyle w:val="BodyText"/>
      </w:pPr>
      <w:r>
        <w:t xml:space="preserve">The primary purpose of a petrol station development is for the retailing of petrol, diesel, or other authorized fuel for use by motor vehicles. A petrol station may accommodate supporting facilities for minor repairs, servicing of motor vehicles, tyre repairs and limited commercial uses. All petrol stations shall adhere to their specific development guidelines as follows:</w:t>
      </w:r>
    </w:p>
    <w:bookmarkEnd w:id="23"/>
    <w:bookmarkStart w:id="25" w:name="column_0_right_1_txtTitle"/>
    <w:bookmarkStart w:id="24" w:name="section"/>
    <w:p>
      <w:pPr>
        <w:pStyle w:val="Heading3"/>
      </w:pPr>
    </w:p>
    <w:bookmarkEnd w:id="24"/>
    <w:bookmarkEnd w:id="25"/>
    <w:p>
      <w:pPr>
        <w:pStyle w:val="FirstParagraph"/>
      </w:pPr>
      <w:hyperlink w:anchor="GPR"/>
    </w:p>
    <w:p>
      <w:pPr>
        <w:pStyle w:val="BodyText"/>
      </w:pPr>
      <w:r>
        <w:t xml:space="preserve">Gross Plot Ratio (GPR)</w:t>
      </w:r>
    </w:p>
    <w:bookmarkStart w:id="27" w:name="GPR"/>
    <w:p>
      <w:pPr>
        <w:pStyle w:val="BodyText"/>
      </w:pPr>
      <w:r>
        <w:t xml:space="preserve">The maximum GPR is 0.5.</w:t>
      </w:r>
    </w:p>
    <w:bookmarkStart w:id="26" w:name="GPR1"/>
    <w:bookmarkEnd w:id="26"/>
    <w:bookmarkEnd w:id="27"/>
    <w:p>
      <w:pPr>
        <w:pStyle w:val="BodyText"/>
      </w:pPr>
      <w:hyperlink w:anchor="Building-Height"/>
    </w:p>
    <w:p>
      <w:pPr>
        <w:pStyle w:val="BodyText"/>
      </w:pPr>
      <w:r>
        <w:t xml:space="preserve">Building Height</w:t>
      </w:r>
    </w:p>
    <w:bookmarkStart w:id="29" w:name="Building-Height"/>
    <w:p>
      <w:pPr>
        <w:pStyle w:val="BodyText"/>
      </w:pPr>
      <w:r>
        <w:t xml:space="preserve">The allowable number of storeys is 1 (maximum).</w:t>
      </w:r>
    </w:p>
    <w:bookmarkStart w:id="28" w:name="Building-Height1"/>
    <w:bookmarkEnd w:id="28"/>
    <w:bookmarkEnd w:id="29"/>
    <w:p>
      <w:pPr>
        <w:pStyle w:val="BodyText"/>
      </w:pPr>
      <w:hyperlink w:anchor="Site-Coverage"/>
    </w:p>
    <w:p>
      <w:pPr>
        <w:pStyle w:val="BodyText"/>
      </w:pPr>
      <w:r>
        <w:t xml:space="preserve">Site Coverage</w:t>
      </w:r>
    </w:p>
    <w:bookmarkStart w:id="31" w:name="Site-Coverage"/>
    <w:p>
      <w:pPr>
        <w:pStyle w:val="BodyText"/>
      </w:pPr>
      <w:r>
        <w:t xml:space="preserve">The maximum site coverage is 50%.</w:t>
      </w:r>
    </w:p>
    <w:bookmarkStart w:id="30" w:name="Site-Coverage1"/>
    <w:bookmarkEnd w:id="30"/>
    <w:bookmarkEnd w:id="31"/>
    <w:p>
      <w:pPr>
        <w:pStyle w:val="BodyText"/>
      </w:pPr>
      <w:hyperlink w:anchor="Buffer-Setback"/>
    </w:p>
    <w:p>
      <w:pPr>
        <w:pStyle w:val="BodyText"/>
      </w:pPr>
      <w:r>
        <w:t xml:space="preserve">Road Buffer and Common Boundary Setback</w:t>
      </w:r>
    </w:p>
    <w:bookmarkStart w:id="33" w:name="Buffer-Setback"/>
    <w:p>
      <w:pPr>
        <w:pStyle w:val="BodyText"/>
      </w:pPr>
      <w:r>
        <w:t xml:space="preserve">Petrol stations shall be set back from the road and common boundary as indicated in the table below.</w:t>
      </w:r>
    </w:p>
    <w:p>
      <w:pPr>
        <w:pStyle w:val="BodyText"/>
      </w:pPr>
      <w:r>
        <w:rPr>
          <w:b/>
          <w:bCs/>
        </w:rPr>
        <w:t xml:space="preserve">Building Setback from Boundary</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Setback Requirement</w:t>
            </w:r>
          </w:p>
        </w:tc>
      </w:tr>
      <w:tr>
        <w:tc>
          <w:tcPr/>
          <w:p>
            <w:pPr>
              <w:pStyle w:val="Compact"/>
              <w:jc w:val="center"/>
            </w:pPr>
            <w:r>
              <w:t xml:space="preserve">From the line of Road Reserve</w:t>
            </w:r>
            <w:r>
              <w:rPr>
                <w:vertAlign w:val="superscript"/>
              </w:rPr>
              <w:t xml:space="preserve">1</w:t>
            </w:r>
            <w:r>
              <w:br/>
            </w:r>
            <w:r>
              <w:t xml:space="preserve">(All road categories)</w:t>
            </w:r>
          </w:p>
        </w:tc>
        <w:tc>
          <w:tcPr/>
          <w:p>
            <w:pPr>
              <w:pStyle w:val="Compact"/>
              <w:jc w:val="center"/>
            </w:pPr>
            <w:r>
              <w:t xml:space="preserve">Minimum 7.5m</w:t>
            </w:r>
            <w:r>
              <w:br/>
            </w:r>
            <w:r>
              <w:t xml:space="preserve">(3m green buffer, 4.5m physical)</w:t>
            </w:r>
          </w:p>
        </w:tc>
      </w:tr>
      <w:tr>
        <w:tc>
          <w:tcPr/>
          <w:p>
            <w:pPr>
              <w:pStyle w:val="Compact"/>
              <w:jc w:val="center"/>
            </w:pPr>
            <w:r>
              <w:t xml:space="preserve">From common boundary</w:t>
            </w:r>
          </w:p>
        </w:tc>
        <w:tc>
          <w:tcPr/>
          <w:p>
            <w:pPr>
              <w:pStyle w:val="Compact"/>
              <w:jc w:val="center"/>
            </w:pPr>
            <w:r>
              <w:t xml:space="preserve">Minimum 4.5m</w:t>
            </w:r>
            <w:r>
              <w:br/>
            </w:r>
            <w:r>
              <w:t xml:space="preserve">(including 2m planting strip)</w:t>
            </w:r>
          </w:p>
        </w:tc>
      </w:tr>
    </w:tbl>
    <w:p>
      <w:pPr>
        <w:pStyle w:val="BodyText"/>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32" w:name="Buffer-Setback1"/>
    <w:bookmarkEnd w:id="32"/>
    <w:bookmarkEnd w:id="33"/>
    <w:p>
      <w:pPr>
        <w:pStyle w:val="BodyText"/>
      </w:pPr>
      <w:hyperlink w:anchor="Use-Quantum"/>
    </w:p>
    <w:p>
      <w:pPr>
        <w:pStyle w:val="BodyText"/>
      </w:pPr>
      <w:r>
        <w:t xml:space="preserve">Use Quantum</w:t>
      </w:r>
    </w:p>
    <w:bookmarkStart w:id="35" w:name="Use-Quantum"/>
    <w:p>
      <w:pPr>
        <w:pStyle w:val="BodyText"/>
      </w:pPr>
      <w:r>
        <w:t xml:space="preserve">Petrol stations are primarily for the retail sale of fuel. Supporting or ancillary office use may be allowed to serve the petrol station. Limited commercial uses such as a mini-mart may be allowed in petrol stations for some convenience shopping to motorists. Preparation, processing and cooking of food are not allowed. All supporting or ancillary uses in a petrol station are subject to the following requirements:</w:t>
      </w:r>
    </w:p>
    <w:p>
      <w:pPr>
        <w:pStyle w:val="Compact"/>
        <w:numPr>
          <w:ilvl w:val="0"/>
          <w:numId w:val="1001"/>
        </w:numPr>
      </w:pPr>
      <w:r>
        <w:t xml:space="preserve">Commercial spaces shall not exceed 15% of the total proposed GFA or 150sqm, whichever is lower. The actual quantum allowable shall be subject to planning consideration depending on the location, site condition, site context, impact on the surrounding area and requirements of other government agencies.</w:t>
      </w:r>
    </w:p>
    <w:p>
      <w:pPr>
        <w:pStyle w:val="Compact"/>
        <w:numPr>
          <w:ilvl w:val="0"/>
          <w:numId w:val="1001"/>
        </w:numPr>
      </w:pPr>
      <w:r>
        <w:t xml:space="preserve">Ancillary offices, stores, and compressor rooms shall not exceed 10% of the total proposed GFA. Mechanical repair bays may be considered if the petrol station is located outside of the Water Catchment Area.</w:t>
      </w:r>
    </w:p>
    <w:bookmarkStart w:id="34" w:name="Use-Quantum1"/>
    <w:bookmarkEnd w:id="34"/>
    <w:bookmarkEnd w:id="35"/>
    <w:p>
      <w:pPr>
        <w:pStyle w:val="FirstParagraph"/>
      </w:pPr>
      <w:hyperlink w:anchor="Strata-Subdivision"/>
    </w:p>
    <w:p>
      <w:pPr>
        <w:pStyle w:val="BodyText"/>
      </w:pPr>
      <w:r>
        <w:t xml:space="preserve">Strata Subdivision</w:t>
      </w:r>
    </w:p>
    <w:bookmarkStart w:id="37" w:name="Strata-Subdivision"/>
    <w:p>
      <w:pPr>
        <w:pStyle w:val="BodyText"/>
      </w:pPr>
      <w:r>
        <w:t xml:space="preserve">Strata subdivision is not allowed.</w:t>
      </w:r>
    </w:p>
    <w:bookmarkStart w:id="36" w:name="Strata-Subdivision1"/>
    <w:bookmarkEnd w:id="36"/>
    <w:bookmarkEnd w:id="3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2024-05-23T00:52:16Z</dcterms:created>
  <dcterms:modified xsi:type="dcterms:W3CDTF">2024-05-23T00:52:16Z</dcterms:modified>
</cp:coreProperties>
</file>

<file path=docProps/custom.xml><?xml version="1.0" encoding="utf-8"?>
<Properties xmlns="http://schemas.openxmlformats.org/officeDocument/2006/custom-properties" xmlns:vt="http://schemas.openxmlformats.org/officeDocument/2006/docPropsVTypes"/>
</file>