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setback-from-boundary"/>
    <w:p>
      <w:pPr>
        <w:pStyle w:val="Heading3"/>
      </w:pPr>
      <w:r>
        <w:t xml:space="preserve">Building Setback from Boundary</w:t>
      </w:r>
    </w:p>
    <w:p>
      <w:pPr>
        <w:pStyle w:val="FirstParagraph"/>
      </w:pPr>
      <w:hyperlink r:id="rId20">
        <w:r>
          <w:rPr>
            <w:rStyle w:val="Hyperlink"/>
          </w:rPr>
          <w:t xml:space="preserve">https://www.ura.gov.sg/-/media/Corporate/Guidelines/Development-control/Others/TP01_Road_Buffer_Setbacks.jpg?h=100%25&amp;w=100%25</w:t>
        </w:r>
      </w:hyperlink>
    </w:p>
    <w:p>
      <w:pPr>
        <w:pStyle w:val="BodyText"/>
      </w:pPr>
      <w:r>
        <w:rPr>
          <w:i/>
          <w:iCs/>
        </w:rPr>
        <w:t xml:space="preserve">Setback Requirements</w:t>
      </w:r>
    </w:p>
    <w:p>
      <w:pPr>
        <w:pStyle w:val="BodyText"/>
      </w:pPr>
      <w:r>
        <w:t xml:space="preserve">All Transport developments shall be sufficiently set back from the road and common boundary. The setback distance is measured from the road reserve</w:t>
      </w:r>
      <w:r>
        <w:rPr>
          <w:vertAlign w:val="superscript"/>
        </w:rPr>
        <w:t xml:space="preserve">1</w:t>
      </w:r>
      <w:r>
        <w:t xml:space="preserve"> </w:t>
      </w:r>
      <w:r>
        <w:t xml:space="preserve">line or boundary line to the external wall of the building, excluding land to be vested to the State for road and/or drainage purpose.</w:t>
      </w:r>
    </w:p>
    <w:p>
      <w:pPr>
        <w:pStyle w:val="BodyText"/>
      </w:pPr>
      <w:r>
        <w:t xml:space="preserve">All Transport developments fronting a public road shall provide a road buffer, the width of which depends on the hierarchy of the road. A green buffer shall be set aside in the road buffer depending on the width of the road buffer.</w:t>
      </w:r>
    </w:p>
    <w:p>
      <w:pPr>
        <w:pStyle w:val="BodyText"/>
      </w:pPr>
      <w:r>
        <w:t xml:space="preserve">The buffer requirements for the Road Categories 1 to 5 are in Table 1 below. The common boundary setback requirements are in Table 2 below. Different setback requirements may apply for sites within the Geylang area or the Central Area, both of which are guided by Urban Design guidelines.</w:t>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End w:id="21"/>
    <w:bookmarkStart w:id="23" w:name="column_0_right_1_txtTitle"/>
    <w:bookmarkStart w:id="22" w:name="section"/>
    <w:p>
      <w:pPr>
        <w:pStyle w:val="Heading3"/>
      </w:pPr>
    </w:p>
    <w:bookmarkEnd w:id="22"/>
    <w:bookmarkEnd w:id="23"/>
    <w:p>
      <w:pPr>
        <w:pStyle w:val="FirstParagraph"/>
      </w:pPr>
      <w:hyperlink w:anchor="Table-1"/>
    </w:p>
    <w:p>
      <w:pPr>
        <w:pStyle w:val="BodyText"/>
      </w:pPr>
      <w:r>
        <w:t xml:space="preserve">Table 1: Road Buffer, Green Buffer</w:t>
      </w:r>
    </w:p>
    <w:bookmarkStart w:id="25" w:name="Table-1"/>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Road Category</w:t>
            </w:r>
          </w:p>
        </w:tc>
        <w:tc>
          <w:tcPr/>
          <w:p>
            <w:pPr>
              <w:pStyle w:val="Compact"/>
              <w:jc w:val="center"/>
            </w:pPr>
            <w:r>
              <w:rPr>
                <w:b/>
                <w:bCs/>
              </w:rPr>
              <w:t xml:space="preserve">Road Buffer</w:t>
            </w:r>
            <w:r>
              <w:br/>
            </w:r>
            <w:r>
              <w:rPr>
                <w:b/>
                <w:bCs/>
              </w:rPr>
              <w:t xml:space="preserve">(inclusive of Green Buffer indicated in brackets)</w:t>
            </w:r>
          </w:p>
        </w:tc>
      </w:tr>
      <w:tr>
        <w:tc>
          <w:tcPr/>
          <w:p>
            <w:pPr>
              <w:pStyle w:val="Compact"/>
              <w:jc w:val="center"/>
            </w:pPr>
            <w:r>
              <w:t xml:space="preserve">Category 1</w:t>
            </w:r>
          </w:p>
        </w:tc>
        <w:tc>
          <w:tcPr/>
          <w:p>
            <w:pPr>
              <w:pStyle w:val="Compact"/>
              <w:jc w:val="center"/>
            </w:pPr>
            <w:r>
              <w:t xml:space="preserve">15m</w:t>
            </w:r>
            <w:r>
              <w:br/>
            </w:r>
            <w:r>
              <w:t xml:space="preserve">(5m)</w:t>
            </w:r>
          </w:p>
        </w:tc>
      </w:tr>
      <w:tr>
        <w:tc>
          <w:tcPr/>
          <w:p>
            <w:pPr>
              <w:pStyle w:val="Compact"/>
              <w:jc w:val="center"/>
            </w:pPr>
            <w:r>
              <w:t xml:space="preserve">Category 2</w:t>
            </w:r>
          </w:p>
        </w:tc>
        <w:tc>
          <w:tcPr/>
          <w:p>
            <w:pPr>
              <w:pStyle w:val="Compact"/>
              <w:jc w:val="center"/>
            </w:pPr>
            <w:r>
              <w:t xml:space="preserve">7.5m</w:t>
            </w:r>
            <w:r>
              <w:br/>
            </w:r>
            <w:r>
              <w:t xml:space="preserve">(3m)</w:t>
            </w:r>
          </w:p>
        </w:tc>
      </w:tr>
      <w:tr>
        <w:tc>
          <w:tcPr/>
          <w:p>
            <w:pPr>
              <w:pStyle w:val="Compact"/>
              <w:jc w:val="center"/>
            </w:pPr>
            <w:r>
              <w:t xml:space="preserve">Category 3</w:t>
            </w:r>
          </w:p>
        </w:tc>
        <w:tc>
          <w:tcPr/>
          <w:p>
            <w:pPr>
              <w:pStyle w:val="Compact"/>
              <w:jc w:val="center"/>
            </w:pPr>
            <w:r>
              <w:t xml:space="preserve">5m</w:t>
            </w:r>
            <w:r>
              <w:br/>
            </w:r>
            <w:r>
              <w:t xml:space="preserve">(3m)</w:t>
            </w:r>
          </w:p>
        </w:tc>
      </w:tr>
      <w:tr>
        <w:tc>
          <w:tcPr/>
          <w:p>
            <w:pPr>
              <w:pStyle w:val="Compact"/>
              <w:jc w:val="center"/>
            </w:pPr>
            <w:r>
              <w:t xml:space="preserve"> Category 4 - 5 and slip road</w:t>
            </w:r>
          </w:p>
        </w:tc>
        <w:tc>
          <w:tcPr/>
          <w:p>
            <w:pPr>
              <w:pStyle w:val="Compact"/>
              <w:jc w:val="center"/>
            </w:pPr>
            <w:r>
              <w:t xml:space="preserve">5m</w:t>
            </w:r>
            <w:r>
              <w:br/>
            </w:r>
            <w:r>
              <w:t xml:space="preserve">(3m)</w:t>
            </w:r>
          </w:p>
        </w:tc>
      </w:tr>
    </w:tbl>
    <w:p>
      <w:pPr>
        <w:pStyle w:val="BodyText"/>
      </w:pPr>
      <w:r>
        <w:br/>
      </w:r>
    </w:p>
    <w:bookmarkStart w:id="24" w:name="Table-11"/>
    <w:bookmarkEnd w:id="24"/>
    <w:bookmarkEnd w:id="25"/>
    <w:p>
      <w:pPr>
        <w:pStyle w:val="BodyText"/>
      </w:pPr>
      <w:hyperlink w:anchor="Table-2"/>
    </w:p>
    <w:p>
      <w:pPr>
        <w:pStyle w:val="BodyText"/>
      </w:pPr>
      <w:r>
        <w:t xml:space="preserve">Table 2: Common Boundary Setback &amp; Planting Strip</w:t>
      </w:r>
    </w:p>
    <w:bookmarkStart w:id="27" w:name="Table-2"/>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Type of Boundary</w:t>
            </w:r>
          </w:p>
        </w:tc>
        <w:tc>
          <w:tcPr/>
          <w:p>
            <w:pPr>
              <w:pStyle w:val="Compact"/>
              <w:jc w:val="center"/>
            </w:pPr>
            <w:r>
              <w:rPr>
                <w:b/>
                <w:bCs/>
              </w:rPr>
              <w:t xml:space="preserve">Building Setback Requirement</w:t>
            </w:r>
          </w:p>
        </w:tc>
      </w:tr>
      <w:tr>
        <w:tc>
          <w:tcPr/>
          <w:p>
            <w:pPr>
              <w:pStyle w:val="Compact"/>
              <w:jc w:val="center"/>
            </w:pPr>
            <w:r>
              <w:t xml:space="preserve">Common boundary with other developments</w:t>
            </w:r>
          </w:p>
        </w:tc>
        <w:tc>
          <w:tcPr/>
          <w:p>
            <w:pPr>
              <w:pStyle w:val="Compact"/>
              <w:jc w:val="center"/>
            </w:pPr>
            <w:r>
              <w:t xml:space="preserve">Minimum 4.5m</w:t>
            </w:r>
            <w:r>
              <w:br/>
            </w:r>
            <w:r>
              <w:t xml:space="preserve">(including 2m planting strip)</w:t>
            </w:r>
          </w:p>
        </w:tc>
      </w:tr>
    </w:tbl>
    <w:bookmarkStart w:id="26" w:name="Table-21"/>
    <w:bookmarkEnd w:id="26"/>
    <w:bookmarkEnd w:id="27"/>
    <w:p>
      <w:pPr>
        <w:pStyle w:val="BodyText"/>
      </w:pPr>
      <w:hyperlink w:anchor="Building-Appendages"/>
    </w:p>
    <w:p>
      <w:pPr>
        <w:pStyle w:val="BodyText"/>
      </w:pPr>
      <w:r>
        <w:t xml:space="preserve">Table 3: Setback for Building Appendages</w:t>
      </w:r>
    </w:p>
    <w:bookmarkStart w:id="29" w:name="Building-Appendages"/>
    <w:tbl>
      <w:tblPr>
        <w:tblStyle w:val="Table"/>
        <w:tblW w:type="auto" w:w="0"/>
        <w:tblLook w:firstRow="0" w:lastRow="0" w:firstColumn="0" w:lastColumn="0" w:noHBand="0" w:noVBand="0" w:val="0000"/>
      </w:tblPr>
      <w:tblGrid>
        <w:gridCol w:w="2640"/>
        <w:gridCol w:w="2640"/>
        <w:gridCol w:w="2640"/>
      </w:tblGrid>
      <w:tr>
        <w:tc>
          <w:tcPr/>
          <w:p>
            <w:pPr>
              <w:pStyle w:val="Compact"/>
              <w:jc w:val="center"/>
            </w:pPr>
            <w:r>
              <w:rPr>
                <w:b/>
                <w:bCs/>
              </w:rPr>
              <w:t xml:space="preserve">Building Feature</w:t>
            </w:r>
          </w:p>
        </w:tc>
        <w:tc>
          <w:tcPr/>
          <w:p>
            <w:pPr>
              <w:pStyle w:val="Compact"/>
              <w:jc w:val="center"/>
            </w:pPr>
            <w:r>
              <w:rPr>
                <w:b/>
                <w:bCs/>
              </w:rPr>
              <w:t xml:space="preserve">Within Road Buffer</w:t>
            </w:r>
          </w:p>
        </w:tc>
        <w:tc>
          <w:tcPr/>
          <w:p>
            <w:pPr>
              <w:pStyle w:val="Compact"/>
              <w:jc w:val="center"/>
            </w:pPr>
            <w:r>
              <w:rPr>
                <w:b/>
                <w:bCs/>
              </w:rPr>
              <w:t xml:space="preserve">Within Setback from Common Boundaries</w:t>
            </w:r>
          </w:p>
        </w:tc>
      </w:tr>
      <w:tr>
        <w:tc>
          <w:tcPr/>
          <w:p>
            <w:pPr>
              <w:pStyle w:val="Compact"/>
              <w:jc w:val="center"/>
            </w:pPr>
            <w:r>
              <w:t xml:space="preserve">Roof eaves</w:t>
            </w:r>
          </w:p>
        </w:tc>
        <w:tc>
          <w:tcPr>
            <w:vMerge w:val="restart"/>
          </w:tcPr>
          <w:p>
            <w:pPr>
              <w:pStyle w:val="Compact"/>
              <w:jc w:val="center"/>
            </w:pPr>
            <w:r>
              <w:t xml:space="preserve">Allowed, provided it is not within the green buffer</w:t>
            </w:r>
          </w:p>
        </w:tc>
        <w:tc>
          <w:tcPr>
            <w:vMerge w:val="restart"/>
          </w:tcPr>
          <w:p>
            <w:pPr>
              <w:pStyle w:val="Compact"/>
              <w:jc w:val="center"/>
            </w:pPr>
            <w:r>
              <w:t xml:space="preserve">Allowed, provided it is not within the 2.0m planting strip</w:t>
            </w:r>
          </w:p>
        </w:tc>
      </w:tr>
      <w:tr>
        <w:tc>
          <w:tcPr/>
          <w:p>
            <w:pPr>
              <w:pStyle w:val="Compact"/>
              <w:jc w:val="center"/>
            </w:pPr>
            <w:r>
              <w:t xml:space="preserve">Sun-shading devices &amp; RC ledges (cantilevered)</w:t>
            </w:r>
          </w:p>
        </w:tc>
        <w:tc>
          <w:tcPr>
            <w:gridSpan w:val="1"/>
            <w:vMerge w:val="continue"/>
          </w:tcPr>
          <w:p>
            <w:pPr/>
          </w:p>
        </w:tc>
        <w:tc>
          <w:tcPr>
            <w:gridSpan w:val="1"/>
            <w:vMerge w:val="continue"/>
          </w:tcPr>
          <w:p>
            <w:pPr/>
          </w:p>
        </w:tc>
      </w:tr>
    </w:tbl>
    <w:bookmarkStart w:id="28" w:name="Building-Appendages1"/>
    <w:bookmarkEnd w:id="28"/>
    <w:bookmarkEnd w:id="29"/>
    <w:p>
      <w:r>
        <w:pict>
          <v:rect style="width:0;height:1.5pt" o:hralign="center" o:hrstd="t" o:hr="t"/>
        </w:pict>
      </w:r>
    </w:p>
    <w:p>
      <w:pPr>
        <w:pStyle w:val="FirstParagraph"/>
      </w:pPr>
      <w:r>
        <w:rPr>
          <w:i/>
          <w:iCs/>
        </w:rPr>
        <w:t xml:space="preserve">Last updated on 23 October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Others/TP01_Road_Buffer_Setbacks.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Others/TP01_Road_Buffer_Setbacks.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2024-05-23T09:32:37Z</dcterms:created>
  <dcterms:modified xsi:type="dcterms:W3CDTF">2024-05-23T09:32:37Z</dcterms:modified>
</cp:coreProperties>
</file>

<file path=docProps/custom.xml><?xml version="1.0" encoding="utf-8"?>
<Properties xmlns="http://schemas.openxmlformats.org/officeDocument/2006/custom-properties" xmlns:vt="http://schemas.openxmlformats.org/officeDocument/2006/docPropsVTypes"/>
</file>