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cess-points"/>
    <w:p>
      <w:pPr>
        <w:pStyle w:val="Heading3"/>
      </w:pPr>
      <w:r>
        <w:t xml:space="preserve">Access Points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Vehicular-Access"/>
    </w:p>
    <w:p>
      <w:pPr>
        <w:pStyle w:val="BodyText"/>
      </w:pPr>
      <w:r>
        <w:t xml:space="preserve">Vehicular Access to Bungalow Plot</w:t>
      </w:r>
    </w:p>
    <w:bookmarkStart w:id="25" w:name="Vehicular-Access"/>
    <w:p>
      <w:pPr>
        <w:pStyle w:val="BodyText"/>
      </w:pPr>
      <w:r>
        <w:t xml:space="preserve">Only one vehicular access point shall be allowed per bungalow plot.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https://ura.gov.sg/-/media/Corporate/Guidelines/Development-control/Landed-Housing/LHD02_Vehicular_Access.jpg?h=100%25&amp;w=100%25</w:t>
        </w:r>
      </w:hyperlink>
    </w:p>
    <w:p>
      <w:pPr>
        <w:pStyle w:val="BodyText"/>
      </w:pPr>
      <w:r>
        <w:rPr>
          <w:i/>
          <w:iCs/>
        </w:rPr>
        <w:t xml:space="preserve">Positioning vehicular access points</w:t>
      </w:r>
    </w:p>
    <w:p>
      <w:pPr>
        <w:pStyle w:val="BodyText"/>
      </w:pPr>
      <w:r>
        <w:t xml:space="preserve">The position of vehicular access point for bungalows shall consider roadside planting and kerbside parking space provision. Each plot's vehicular access point shall have a separation space of at least 6m from the neighbouring plot for a planting verge.</w:t>
      </w:r>
    </w:p>
    <w:bookmarkStart w:id="24" w:name="Vehicular-Access1"/>
    <w:bookmarkEnd w:id="24"/>
    <w:bookmarkEnd w:id="25"/>
    <w:p>
      <w:pPr>
        <w:pStyle w:val="BodyText"/>
      </w:pPr>
      <w:hyperlink w:anchor="Entrance"/>
    </w:p>
    <w:p>
      <w:pPr>
        <w:pStyle w:val="BodyText"/>
      </w:pPr>
      <w:r>
        <w:t xml:space="preserve">Entrance to a Landed House</w:t>
      </w:r>
    </w:p>
    <w:bookmarkStart w:id="27" w:name="Entrance"/>
    <w:p>
      <w:pPr>
        <w:pStyle w:val="BodyText"/>
      </w:pPr>
      <w:r>
        <w:t xml:space="preserve">Only one main entrance door for a single residential unit for family dwelling purposes shall be allowed in a landed house.</w:t>
      </w:r>
    </w:p>
    <w:bookmarkStart w:id="26" w:name="Entrance1"/>
    <w:bookmarkEnd w:id="26"/>
    <w:bookmarkEnd w:id="2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Landed-Housing/LHD02_Vehicular_Access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Landed-Housing/LHD02_Vehicular_Access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2024-05-23T03:20:44Z</dcterms:created>
  <dcterms:modified xsi:type="dcterms:W3CDTF">2024-05-23T03:20:44Z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