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velope-control-guidelines"/>
    <w:p>
      <w:pPr>
        <w:pStyle w:val="Heading3"/>
      </w:pPr>
      <w:r>
        <w:t xml:space="preserve">Envelope Control Guidelines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Envelope Control Guidelines</w:t>
      </w:r>
    </w:p>
    <w:p>
      <w:pPr>
        <w:pStyle w:val="BodyText"/>
      </w:pPr>
      <w:r>
        <w:t xml:space="preserve">From 11 May 2015, all landed housing shall follow the envelope control guidelines which define an allowable building envelope based on storey height and building setbacks. The development shall not exceed the permissible building envelope as illustrated in the figure above.</w:t>
      </w:r>
    </w:p>
    <w:p>
      <w:pPr>
        <w:pStyle w:val="BodyText"/>
      </w:pPr>
      <w:r>
        <w:t xml:space="preserve">For existing landed housing approved under previous conventional landed housing guidelines, all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w:t>
      </w:r>
    </w:p>
    <w:bookmarkEnd w:id="23"/>
    <w:bookmarkStart w:id="25" w:name="column_0_right_1_txtTitle"/>
    <w:bookmarkStart w:id="24" w:name="section"/>
    <w:p>
      <w:pPr>
        <w:pStyle w:val="Heading3"/>
      </w:pPr>
    </w:p>
    <w:bookmarkEnd w:id="24"/>
    <w:bookmarkEnd w:id="25"/>
    <w:p>
      <w:pPr>
        <w:pStyle w:val="FirstParagraph"/>
      </w:pPr>
      <w:hyperlink w:anchor="Building-Height"/>
    </w:p>
    <w:p>
      <w:pPr>
        <w:pStyle w:val="BodyText"/>
      </w:pPr>
      <w:r>
        <w:t xml:space="preserve">Building Height</w:t>
      </w:r>
    </w:p>
    <w:bookmarkStart w:id="32" w:name="Building-Height"/>
    <w:p>
      <w:pPr>
        <w:pStyle w:val="BodyText"/>
      </w:pPr>
      <w:r>
        <w:t xml:space="preserve">Under the envelope control guidelines, the overall building height is based on the allowable number of storeys and the floor-to-floor height in metres. The figures below show the building envelope and the relationship between storey height and allowable building height in meters.</w:t>
      </w:r>
    </w:p>
    <w:p>
      <w:pPr>
        <w:pStyle w:val="Compact"/>
        <w:numPr>
          <w:ilvl w:val="0"/>
          <w:numId w:val="1001"/>
        </w:numPr>
      </w:pPr>
      <w:r>
        <w:t xml:space="preserve">Landed housing shall not exceed the 2-storey or 3-storey height control, or the prescribed storey height as shown in the designated landed housing plan in the Master Plan, whichever is lower. This is to ensure that the height of the development is sympathetic to the existing character</w:t>
      </w:r>
      <w:r>
        <w:rPr>
          <w:vertAlign w:val="superscript"/>
        </w:rPr>
        <w:t xml:space="preserve">1</w:t>
      </w:r>
      <w:r>
        <w:t xml:space="preserve"> </w:t>
      </w:r>
      <w:r>
        <w:t xml:space="preserve">of landed housing in the neighbourhood.</w:t>
      </w:r>
    </w:p>
    <w:p>
      <w:pPr>
        <w:pStyle w:val="Compact"/>
        <w:numPr>
          <w:ilvl w:val="0"/>
          <w:numId w:val="1001"/>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1"/>
        </w:numPr>
      </w:pPr>
      <w:r>
        <w:t xml:space="preserve">Lift overrun and safety barriers at RC flat roofs may be considered up to 1m beyond the allowable building height.</w:t>
      </w:r>
    </w:p>
    <w:p>
      <w:pPr>
        <w:pStyle w:val="FirstParagraph"/>
      </w:pPr>
      <w:r>
        <w:drawing>
          <wp:inline>
            <wp:extent cx="9525" cy="9525"/>
            <wp:effectExtent b="0" l="0" r="0" t="0"/>
            <wp:docPr descr=""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2-storey Envelope Control landed housing</w:t>
      </w:r>
    </w:p>
    <w:p>
      <w:pPr>
        <w:pStyle w:val="BodyText"/>
      </w:pPr>
      <w:r>
        <w:drawing>
          <wp:inline>
            <wp:extent cx="9525" cy="9525"/>
            <wp:effectExtent b="0" l="0" r="0" t="0"/>
            <wp:docPr descr=""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3-storey Envelope Control landed housing</w:t>
      </w:r>
    </w:p>
    <w:p>
      <w:pPr>
        <w:pStyle w:val="BodyText"/>
      </w:pPr>
      <w:r>
        <w:rPr>
          <w:vertAlign w:val="superscript"/>
        </w:rPr>
        <w:t xml:space="preserve">1</w:t>
      </w:r>
      <w:r>
        <w:t xml:space="preserve"> </w:t>
      </w:r>
      <w:r>
        <w:t xml:space="preserve">Other height controls may also be applicable, such as:</w:t>
      </w:r>
    </w:p>
    <w:p>
      <w:pPr>
        <w:pStyle w:val="Compact"/>
        <w:numPr>
          <w:ilvl w:val="0"/>
          <w:numId w:val="1002"/>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2"/>
        </w:numPr>
      </w:pPr>
      <w:r>
        <w:t xml:space="preserve">Conservation guidelines (available at</w:t>
      </w:r>
      <w:r>
        <w:t xml:space="preserve"> </w:t>
      </w:r>
      <w:hyperlink r:id="rId30">
        <w:r>
          <w:rPr>
            <w:rStyle w:val="Hyperlink"/>
          </w:rPr>
          <w:t xml:space="preserve">URA SPACE</w:t>
        </w:r>
      </w:hyperlink>
      <w:r>
        <w:t xml:space="preserve">)</w:t>
      </w:r>
    </w:p>
    <w:p>
      <w:pPr>
        <w:pStyle w:val="Compact"/>
        <w:numPr>
          <w:ilvl w:val="0"/>
          <w:numId w:val="1002"/>
        </w:numPr>
      </w:pPr>
      <w:r>
        <w:t xml:space="preserve">Urban design height controls (available at</w:t>
      </w:r>
      <w:r>
        <w:t xml:space="preserve"> </w:t>
      </w:r>
      <w:hyperlink r:id="rId30">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the other height controls.</w:t>
      </w:r>
    </w:p>
    <w:bookmarkStart w:id="31" w:name="Building-Height1"/>
    <w:bookmarkEnd w:id="31"/>
    <w:bookmarkEnd w:id="32"/>
    <w:p>
      <w:pPr>
        <w:pStyle w:val="BodyText"/>
      </w:pPr>
      <w:hyperlink w:anchor="Mezzanine"/>
    </w:p>
    <w:p>
      <w:pPr>
        <w:pStyle w:val="BodyText"/>
      </w:pPr>
      <w:r>
        <w:t xml:space="preserve">Mezzanine Floors</w:t>
      </w:r>
    </w:p>
    <w:bookmarkStart w:id="36"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r>
        <w:drawing>
          <wp:inline>
            <wp:extent cx="9525" cy="9525"/>
            <wp:effectExtent b="0" l="0" r="0" t="0"/>
            <wp:docPr descr="Guidelines for mezzanine floor" title="" id="3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Guidelines for Mezzanine Floor</w:t>
      </w:r>
    </w:p>
    <w:bookmarkStart w:id="35" w:name="Mezzanine1"/>
    <w:bookmarkEnd w:id="35"/>
    <w:bookmarkEnd w:id="36"/>
    <w:p>
      <w:pPr>
        <w:pStyle w:val="BodyText"/>
      </w:pPr>
      <w:hyperlink w:anchor="Attics"/>
    </w:p>
    <w:p>
      <w:pPr>
        <w:pStyle w:val="BodyText"/>
      </w:pPr>
      <w:r>
        <w:t xml:space="preserve">Attics</w:t>
      </w:r>
    </w:p>
    <w:bookmarkStart w:id="41"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r>
        <w:drawing>
          <wp:inline>
            <wp:extent cx="9525" cy="9525"/>
            <wp:effectExtent b="0" l="0" r="0" t="0"/>
            <wp:docPr descr="Guidelines for attic storey" title="" id="3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Attic Guidelines (view high-res illustration</w:t>
      </w:r>
      <w:r>
        <w:rPr>
          <w:i/>
          <w:iCs/>
        </w:rPr>
        <w:t xml:space="preserve"> </w:t>
      </w:r>
      <w:hyperlink r:id="rId39">
        <w:r>
          <w:rPr>
            <w:rStyle w:val="Hyperlink"/>
            <w:i/>
            <w:iCs/>
          </w:rPr>
          <w:t xml:space="preserve">here</w:t>
        </w:r>
      </w:hyperlink>
      <w:r>
        <w:rPr>
          <w:i/>
          <w:iCs/>
        </w:rPr>
        <w:t xml:space="preserve">)</w:t>
      </w:r>
    </w:p>
    <w:bookmarkStart w:id="40" w:name="Attics1"/>
    <w:bookmarkEnd w:id="40"/>
    <w:bookmarkEnd w:id="41"/>
    <w:p>
      <w:pPr>
        <w:pStyle w:val="BodyText"/>
      </w:pPr>
      <w:hyperlink w:anchor="Basements"/>
    </w:p>
    <w:p>
      <w:pPr>
        <w:pStyle w:val="BodyText"/>
      </w:pPr>
      <w:r>
        <w:t xml:space="preserve">Basements</w:t>
      </w:r>
    </w:p>
    <w:bookmarkStart w:id="51"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w:t>
            </w:r>
            <w:r>
              <w:rPr>
                <w:b/>
                <w:bCs/>
                <w:vertAlign w:val="superscript"/>
              </w:rPr>
              <w:t xml:space="preserve">2</w:t>
            </w:r>
            <w:r>
              <w:rPr>
                <w:b/>
                <w:bCs/>
              </w:rPr>
              <w:t xml:space="preserve"> </w:t>
            </w:r>
            <w:r>
              <w:rPr>
                <w:b/>
                <w:bCs/>
              </w:rPr>
              <w:t xml:space="preserve">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 line, provided the portion underneath the green buffer is submerged at least 2m or more below the ground level</w:t>
            </w:r>
          </w:p>
        </w:tc>
        <w:tc>
          <w:tcPr/>
          <w:p>
            <w:pPr>
              <w:pStyle w:val="Compact"/>
              <w:jc w:val="left"/>
            </w:pPr>
            <w:r>
              <w:t xml:space="preserve">For plots outside GCBA, up to the site lot boundary, provided:</w:t>
            </w:r>
            <w:r>
              <w:br/>
            </w:r>
          </w:p>
          <w:p>
            <w:pPr>
              <w:pStyle w:val="Compact"/>
              <w:numPr>
                <w:ilvl w:val="0"/>
                <w:numId w:val="1003"/>
              </w:numPr>
              <w:jc w:val="left"/>
            </w:pPr>
            <w:r>
              <w:t xml:space="preserve">the portion underneath the 2m tree planting strip is submerged at least 2m or more below the ground level;</w:t>
            </w:r>
          </w:p>
          <w:p>
            <w:pPr>
              <w:pStyle w:val="Compact"/>
              <w:numPr>
                <w:ilvl w:val="0"/>
                <w:numId w:val="1003"/>
              </w:numPr>
              <w:jc w:val="left"/>
            </w:pPr>
            <w:r>
              <w:t xml:space="preserve">there are no technical requirements (eg sewerage, drainage) and the basement does not cause any adverse impact to the adjoining property;</w:t>
            </w:r>
          </w:p>
          <w:p>
            <w:pPr>
              <w:pStyle w:val="Compact"/>
              <w:numPr>
                <w:ilvl w:val="0"/>
                <w:numId w:val="1003"/>
              </w:numPr>
              <w:jc w:val="left"/>
            </w:pPr>
            <w:r>
              <w:t xml:space="preserve">the side of a basement wall abutting any site boundary shall not have any openings into the adjoining site.</w:t>
            </w:r>
          </w:p>
          <w:p>
            <w:pPr>
              <w:pStyle w:val="Compact"/>
              <w:jc w:val="left"/>
            </w:pPr>
            <w:r>
              <w:t xml:space="preserve">For plots within GCBA, fully submerged basements shall be setback 2m from the boundary lines.</w:t>
            </w:r>
          </w:p>
        </w:tc>
      </w:tr>
    </w:tbl>
    <w:p>
      <w:pPr>
        <w:pStyle w:val="BodyText"/>
      </w:pPr>
      <w:r>
        <w:br/>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50" w:name="Basements1"/>
    <w:p>
      <w:pPr>
        <w:pStyle w:val="BodyText"/>
      </w:pPr>
      <w:hyperlink w:anchor="Exceptions-Low-Lying"/>
    </w:p>
    <w:bookmarkStart w:id="42" w:name="basements-in-low-lying-areas"/>
    <w:p>
      <w:pPr>
        <w:pStyle w:val="Heading4"/>
      </w:pPr>
      <w:r>
        <w:t xml:space="preserve">Basements in Low-lying Areas</w:t>
      </w:r>
    </w:p>
    <w:bookmarkEnd w:id="42"/>
    <w:bookmarkStart w:id="45" w:name="Exceptions-Low-Lying"/>
    <w:p>
      <w:pPr>
        <w:pStyle w:val="FirstParagraph"/>
      </w:pPr>
      <w:r>
        <w:t xml:space="preserve">For sites in low lying landed housing areas, internal areas below the Minimum Platform Level (MPL)</w:t>
      </w:r>
      <w:r>
        <w:rPr>
          <w:vertAlign w:val="superscript"/>
        </w:rPr>
        <w:t xml:space="preserve">3</w:t>
      </w:r>
      <w:r>
        <w:t xml:space="preserve"> shall be treated as a basement storey and shall not count as an additional storey, subject to:</w:t>
      </w:r>
    </w:p>
    <w:p>
      <w:pPr>
        <w:pStyle w:val="Compact"/>
        <w:numPr>
          <w:ilvl w:val="0"/>
          <w:numId w:val="1004"/>
        </w:numPr>
      </w:pPr>
      <w:r>
        <w:t xml:space="preserve">Any building structures or internal living areas proposed below the MPL shall be fully sealed with no external openings</w:t>
      </w:r>
      <w:r>
        <w:rPr>
          <w:vertAlign w:val="superscript"/>
        </w:rPr>
        <w:t xml:space="preserve">4</w:t>
      </w:r>
      <w:r>
        <w:t xml:space="preserve">.</w:t>
      </w:r>
    </w:p>
    <w:p>
      <w:pPr>
        <w:pStyle w:val="Compact"/>
        <w:numPr>
          <w:ilvl w:val="0"/>
          <w:numId w:val="1004"/>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built up to the site lot boundary.</w:t>
      </w:r>
    </w:p>
    <w:p>
      <w:pPr>
        <w:pStyle w:val="BodyText"/>
      </w:pPr>
      <w:r>
        <w:drawing>
          <wp:inline>
            <wp:extent cx="9525" cy="9525"/>
            <wp:effectExtent b="0" l="0" r="0" t="0"/>
            <wp:docPr descr="" title="" id="4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guidelines for low-lying sites</w:t>
      </w:r>
    </w:p>
    <w:p>
      <w:pPr>
        <w:pStyle w:val="BodyText"/>
      </w:pPr>
      <w:r>
        <w:rPr>
          <w:vertAlign w:val="superscript"/>
        </w:rPr>
        <w:t xml:space="preserve">3</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4</w:t>
      </w:r>
      <w:r>
        <w:t xml:space="preserve"> </w:t>
      </w:r>
      <w:r>
        <w:t xml:space="preserve">If external openings are proposed, additional requirements from PUB shall be complied with, as follows:</w:t>
      </w:r>
      <w:r>
        <w:t xml:space="preserve"> </w:t>
      </w:r>
    </w:p>
    <w:p>
      <w:pPr>
        <w:pStyle w:val="Compact"/>
        <w:numPr>
          <w:ilvl w:val="0"/>
          <w:numId w:val="1005"/>
        </w:numPr>
      </w:pPr>
      <w:r>
        <w:t xml:space="preserve">The internal finished floor level shall be at least 300mm above the adjacent road level; and</w:t>
      </w:r>
    </w:p>
    <w:p>
      <w:pPr>
        <w:pStyle w:val="Compact"/>
        <w:numPr>
          <w:ilvl w:val="0"/>
          <w:numId w:val="1005"/>
        </w:numPr>
      </w:pPr>
      <w:r>
        <w:t xml:space="preserve">Only entrance driveways, bin centres, turfed compound area, car porches or any other areas as may be approved by PUB may be permitted below the MPL. Bedrooms and M&amp;E installations shall be located above the MPL.</w:t>
      </w:r>
    </w:p>
    <w:bookmarkEnd w:id="45"/>
    <w:p>
      <w:pPr>
        <w:pStyle w:val="FirstParagraph"/>
      </w:pPr>
      <w:hyperlink w:anchor="Exceptions-Sloping"/>
    </w:p>
    <w:bookmarkStart w:id="46" w:name="basements-on-sloping-sites"/>
    <w:p>
      <w:pPr>
        <w:pStyle w:val="Heading4"/>
      </w:pPr>
      <w:r>
        <w:t xml:space="preserve">Basements on Sloping Sites</w:t>
      </w:r>
    </w:p>
    <w:bookmarkEnd w:id="46"/>
    <w:bookmarkStart w:id="49" w:name="Exceptions-Sloping"/>
    <w:p>
      <w:pPr>
        <w:pStyle w:val="FirstParagraph"/>
      </w:pPr>
      <w:r>
        <w:t xml:space="preserve">For plots with sloping ground, exposed basement protrusion above existing ground level may be considered as shown in the figure below as long as the basement protrusion is kept within the permissible Envelope Control building height. </w:t>
      </w:r>
    </w:p>
    <w:p>
      <w:pPr>
        <w:pStyle w:val="BodyText"/>
      </w:pPr>
      <w:r>
        <w:drawing>
          <wp:inline>
            <wp:extent cx="9525" cy="9525"/>
            <wp:effectExtent b="0" l="0" r="0" t="0"/>
            <wp:docPr descr="Basement on Sloping Sites" title="" id="4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w:t>
      </w:r>
    </w:p>
    <w:p>
      <w:pPr>
        <w:pStyle w:val="BodyText"/>
      </w:pPr>
      <w:r>
        <w:rPr>
          <w:i/>
          <w:iCs/>
        </w:rPr>
        <w:t xml:space="preserve">Basement on Sloping Sites</w:t>
      </w:r>
    </w:p>
    <w:bookmarkEnd w:id="49"/>
    <w:bookmarkEnd w:id="50"/>
    <w:bookmarkEnd w:id="51"/>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media/Corporate/Guidelines/Development-control/Landed-Housing/LHD18_New_EC_Attic.jpg" TargetMode="External" /><Relationship Type="http://schemas.openxmlformats.org/officeDocument/2006/relationships/hyperlink" Id="rId3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9" Target="/-/media/Corporate/Guidelines/Development-control/Landed-Housing/LHD18_New_EC_Attic.jpg" TargetMode="External" /><Relationship Type="http://schemas.openxmlformats.org/officeDocument/2006/relationships/hyperlink" Id="rId3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2024-05-23T00:52:18Z</dcterms:created>
  <dcterms:modified xsi:type="dcterms:W3CDTF">2024-05-23T00:52:18Z</dcterms:modified>
</cp:coreProperties>
</file>

<file path=docProps/custom.xml><?xml version="1.0" encoding="utf-8"?>
<Properties xmlns="http://schemas.openxmlformats.org/officeDocument/2006/custom-properties" xmlns:vt="http://schemas.openxmlformats.org/officeDocument/2006/docPropsVTypes"/>
</file>