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pen-space-provision"/>
    <w:p>
      <w:pPr>
        <w:pStyle w:val="Heading3"/>
      </w:pPr>
      <w:r>
        <w:t xml:space="preserve">Open Space Provision</w:t>
      </w:r>
    </w:p>
    <w:p>
      <w:pPr>
        <w:pStyle w:val="FirstParagraph"/>
      </w:pPr>
      <w:r>
        <w:t xml:space="preserve">The National Parks Board (NParks) requires new landed housing development clusters of a certain total Gross Floor Area (GFA) to set aside an open space plot at a rate of 4</w:t>
      </w:r>
      <w:r>
        <w:rPr>
          <w:b/>
          <w:bCs/>
        </w:rPr>
        <w:t xml:space="preserve">.</w:t>
      </w:r>
      <w:r>
        <w:t xml:space="preserve">05sqm of open space for every 56sqm of gross floor area</w:t>
      </w:r>
      <w:r>
        <w:rPr>
          <w:vertAlign w:val="superscript"/>
        </w:rPr>
        <w:t xml:space="preserve">1</w:t>
      </w:r>
      <w:r>
        <w:t xml:space="preserve">. While the minimum open space plot size required is 1,000sqm (ie a landed housing development with total gross floor area of about 13,800sqm would be required to make such provision), NParks may require a smaller open space plot based on the same computation rate depending on the adequacy of open space in the nearby area.</w:t>
      </w:r>
    </w:p>
    <w:p>
      <w:pPr>
        <w:pStyle w:val="BodyText"/>
      </w:pPr>
      <w:r>
        <w:t xml:space="preserve">The open space plot shall be vested in the State before the Building &amp; Construction Authority (BCA) issues a Certificate of Statutory Completion (CSC). The open space shall be free from encumbrances, unless otherwise specified, before it can be vested in the State.</w:t>
      </w:r>
    </w:p>
    <w:p>
      <w:pPr>
        <w:pStyle w:val="BodyText"/>
      </w:pPr>
      <w:r>
        <w:t xml:space="preserve">The open space provided shall be:</w:t>
      </w:r>
    </w:p>
    <w:p>
      <w:pPr>
        <w:pStyle w:val="Compact"/>
        <w:numPr>
          <w:ilvl w:val="0"/>
          <w:numId w:val="1001"/>
        </w:numPr>
      </w:pPr>
      <w:r>
        <w:t xml:space="preserve">Suitably located within the proposed development, such that it is conveniently accessible to the public;   </w:t>
      </w:r>
    </w:p>
    <w:p>
      <w:pPr>
        <w:pStyle w:val="Compact"/>
        <w:numPr>
          <w:ilvl w:val="0"/>
          <w:numId w:val="1001"/>
        </w:numPr>
      </w:pPr>
      <w:r>
        <w:t xml:space="preserve">A single plot of a regular shape, and not fragmented (eg by road, drain or other reserves); and   </w:t>
      </w:r>
    </w:p>
    <w:p>
      <w:pPr>
        <w:pStyle w:val="Compact"/>
        <w:numPr>
          <w:ilvl w:val="0"/>
          <w:numId w:val="1001"/>
        </w:numPr>
      </w:pPr>
      <w:r>
        <w:t xml:space="preserve">Generally flat terrain that is neither low lying nor subject to flooding.</w:t>
      </w:r>
    </w:p>
    <w:p>
      <w:pPr>
        <w:pStyle w:val="FirstParagraph"/>
      </w:pPr>
      <w:r>
        <w:t xml:space="preserve">Where the landed housing development cluster abuts an expressway or major arterial road, part of the open space provision may double up as part of the buffer zone provided the:</w:t>
      </w:r>
    </w:p>
    <w:p>
      <w:pPr>
        <w:pStyle w:val="Compact"/>
        <w:numPr>
          <w:ilvl w:val="0"/>
          <w:numId w:val="1002"/>
        </w:numPr>
      </w:pPr>
      <w:r>
        <w:t xml:space="preserve">Depth of the open space plot is 3m (minimum); and</w:t>
      </w:r>
    </w:p>
    <w:p>
      <w:pPr>
        <w:pStyle w:val="Compact"/>
        <w:numPr>
          <w:ilvl w:val="0"/>
          <w:numId w:val="1002"/>
        </w:numPr>
      </w:pPr>
      <w:r>
        <w:t xml:space="preserve">Configuration or the open space plot is reasonably regular.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Open Space Provision requirements are not applicable for Strata Landed Housing developments. See</w:t>
      </w:r>
      <w:r>
        <w:t xml:space="preserve"> </w:t>
      </w:r>
      <w:hyperlink r:id="rId20">
        <w:r>
          <w:rPr>
            <w:rStyle w:val="Hyperlink"/>
          </w:rPr>
          <w:t xml:space="preserve">Strata Landed Housing</w:t>
        </w:r>
      </w:hyperlink>
      <w:r>
        <w:t xml:space="preserve"> </w:t>
      </w:r>
      <w:r>
        <w:t xml:space="preserve">Communal Open Space and greenery provision requirements.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Corporate/Guidelines/Development-Control/Residential/Strata-Landed-Housing/Site-Cover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Corporate/Guidelines/Development-Control/Residential/Strata-Landed-Housing/Site-Cover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2024-05-23T00:52:19Z</dcterms:created>
  <dcterms:modified xsi:type="dcterms:W3CDTF">2024-05-23T00:52:19Z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