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bungalow"/>
    <w:p>
      <w:pPr>
        <w:pStyle w:val="Heading3"/>
      </w:pPr>
      <w:r>
        <w:t xml:space="preserve">Redeveloping to a Bungalow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Outside GCBA, the redevelopment of other housing forms to Bungalows may be considered under the following conditions: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From a Semi-detached to a Bungalow</w:t>
      </w:r>
    </w:p>
    <w:p>
      <w:pPr>
        <w:pStyle w:val="Compact"/>
        <w:numPr>
          <w:ilvl w:val="1"/>
          <w:numId w:val="1002"/>
        </w:numPr>
      </w:pPr>
      <w:r>
        <w:t xml:space="preserve">It complies with the minimum plot size of 400sqm and plot width of 10m, and</w:t>
      </w:r>
    </w:p>
    <w:p>
      <w:pPr>
        <w:pStyle w:val="Compact"/>
        <w:numPr>
          <w:ilvl w:val="1"/>
          <w:numId w:val="1002"/>
        </w:numPr>
      </w:pPr>
      <w:r>
        <w:t xml:space="preserve">The left behind (or remaining) semi-detached unit is capable of being redeveloped into a new bungalow in the future (minimum plot size of 400sqm, plot width of 10m).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From a Terrace House to a Bungalow</w:t>
      </w:r>
    </w:p>
    <w:p>
      <w:pPr>
        <w:pStyle w:val="Compact"/>
        <w:numPr>
          <w:ilvl w:val="1"/>
          <w:numId w:val="1004"/>
        </w:numPr>
      </w:pPr>
      <w:r>
        <w:t xml:space="preserve">It complies with the minimum plot width of 10m and plot size of 400sqm, and</w:t>
      </w:r>
    </w:p>
    <w:p>
      <w:pPr>
        <w:pStyle w:val="Compact"/>
        <w:numPr>
          <w:ilvl w:val="1"/>
          <w:numId w:val="1004"/>
        </w:numPr>
      </w:pPr>
      <w:r>
        <w:t xml:space="preserve">The adjoining terrace house qualifies to become a new corner terrace unit in future (minimum plot size of 200sqm and plot width of 8m)</w:t>
      </w:r>
    </w:p>
    <w:bookmarkEnd w:id="20"/>
    <w:bookmarkStart w:id="22" w:name="column_0_right_1_txtTitle"/>
    <w:bookmarkStart w:id="21" w:name="illustrated-examples"/>
    <w:p>
      <w:pPr>
        <w:pStyle w:val="Heading3"/>
      </w:pPr>
      <w:r>
        <w:t xml:space="preserve">Illustrated Examples</w:t>
      </w:r>
    </w:p>
    <w:bookmarkEnd w:id="21"/>
    <w:bookmarkEnd w:id="22"/>
    <w:p>
      <w:pPr>
        <w:pStyle w:val="FirstParagraph"/>
      </w:pPr>
      <w:hyperlink w:anchor="GCB"/>
    </w:p>
    <w:p>
      <w:pPr>
        <w:pStyle w:val="BodyText"/>
      </w:pPr>
      <w:r>
        <w:t xml:space="preserve">Redevelopment of Good Class Bungalow Plot</w:t>
      </w:r>
    </w:p>
    <w:bookmarkStart w:id="31" w:name="GCB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is an existing infill bungalow plot that is deficient in plot size (less than 1,400sqm)</w:t>
            </w:r>
            <w:r>
              <w:br/>
            </w:r>
            <w:r>
              <w:br/>
            </w:r>
            <w:r>
              <w:t xml:space="preserve">B may redevelop into a good class bungalow subject to compliance with good class bungalow guidelines.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amalgamated plot area is 4,100sqm. One of the new bungalow plots is less than 1,400sqm after subdivision.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proposed site area of each new bungalow plots A &amp; B, is 1,400sqm. The site area of Plot C is less than 1,400sqm after vesting of land for road widening. Such land subdivision may be allowed provided that: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not more than 1 newly created plot is deficient in plot size after vesting of land;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the deviation from minimum plot size shall not be more than 10%.</w:t>
            </w:r>
          </w:p>
        </w:tc>
      </w:tr>
    </w:tbl>
    <w:bookmarkStart w:id="30" w:name="GCB1"/>
    <w:bookmarkEnd w:id="30"/>
    <w:bookmarkEnd w:id="31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49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drawing>
                <wp:inline>
                  <wp:extent cx="9525" cy="95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6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a semi-detached house and a bungalow because it would create a new blank wall at the common boundary with A.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B shall not be allowed to redevelop into a semi-detached house and a bungalow because it would create a new blank wall at the common boundary with A if A breaks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48" w:name="Semi-Detached1"/>
    <w:bookmarkEnd w:id="48"/>
    <w:bookmarkEnd w:id="49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59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drawing>
                <wp:inline>
                  <wp:extent cx="9525" cy="9525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can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7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r>
              <w:drawing>
                <wp:inline>
                  <wp:extent cx="9525" cy="952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AEAAAABCAYAAAAfFcSJAAAAAXNSR0IArs4c6QAAAARnQU1BAACxjwv8YQUAAAAJcEhZcwAADsQAAA7EAZUrDhsAAAANSURBVBhXYzh8+PB/AAffA0nNPuCLAAAAAElFTkSuQmCC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 D may redevelop into a corner terrace house as it has sufficient plot size and plot width and Plot E has sufficient plot size and plot width to redevelop into a bungalow or a pair of semi-detached houses.</w:t>
            </w:r>
            <w:r>
              <w:br/>
            </w:r>
            <w:r>
              <w:br/>
            </w:r>
            <w:r>
              <w:t xml:space="preserve">Owner of House D shall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8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bookmarkStart w:id="58" w:name="Terrace1"/>
    <w:bookmarkEnd w:id="58"/>
    <w:bookmarkEnd w:id="5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8 April 2024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2024-05-23T00:52:19Z</dcterms:created>
  <dcterms:modified xsi:type="dcterms:W3CDTF">2024-05-23T00:52:19Z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