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developing-to-a-bungalow"/>
    <w:p>
      <w:pPr>
        <w:pStyle w:val="Heading3"/>
      </w:pPr>
      <w:r>
        <w:t xml:space="preserve">Redeveloping to a Bungalow</w:t>
      </w:r>
    </w:p>
    <w:p>
      <w:pPr>
        <w:pStyle w:val="FirstParagraph"/>
      </w:pPr>
      <w:r>
        <w:t xml:space="preserve">The illustrations apply to houses within Designated Landed Housing Areas (DLHAs). For proposals outside DLHAs, the left-behind plot must fulfil the minimum plot size requirement of 1,000 sqm.</w:t>
      </w:r>
    </w:p>
    <w:p>
      <w:pPr>
        <w:pStyle w:val="BodyText"/>
      </w:pPr>
      <w:r>
        <w:t xml:space="preserve">Outside GCBA, the redevelopment of other housing forms to Bungalows may be considered under the following conditions: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From a Semi-detached to a Bungalow</w:t>
      </w:r>
    </w:p>
    <w:p>
      <w:pPr>
        <w:pStyle w:val="Compact"/>
        <w:numPr>
          <w:ilvl w:val="1"/>
          <w:numId w:val="1002"/>
        </w:numPr>
      </w:pPr>
      <w:r>
        <w:t xml:space="preserve">It complies with the minimum plot size of 400sqm and plot width of 10m, and</w:t>
      </w:r>
    </w:p>
    <w:p>
      <w:pPr>
        <w:pStyle w:val="Compact"/>
        <w:numPr>
          <w:ilvl w:val="1"/>
          <w:numId w:val="1002"/>
        </w:numPr>
      </w:pPr>
      <w:r>
        <w:t xml:space="preserve">The left behind (or remaining) semi-detached unit is capable of being redeveloped into a new bungalow in the future (minimum plot size of 400sqm, plot width of 10m).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From a Terrace House to a Bungalow</w:t>
      </w:r>
    </w:p>
    <w:p>
      <w:pPr>
        <w:pStyle w:val="Compact"/>
        <w:numPr>
          <w:ilvl w:val="1"/>
          <w:numId w:val="1004"/>
        </w:numPr>
      </w:pPr>
      <w:r>
        <w:t xml:space="preserve">It complies with the minimum plot width of 10m and plot size of 400sqm, and</w:t>
      </w:r>
    </w:p>
    <w:p>
      <w:pPr>
        <w:pStyle w:val="Compact"/>
        <w:numPr>
          <w:ilvl w:val="1"/>
          <w:numId w:val="1004"/>
        </w:numPr>
      </w:pPr>
      <w:r>
        <w:t xml:space="preserve">The adjoining terrace house qualifies to become a new corner terrace unit in future (minimum plot size of 200sqm and plot width of 8m)</w:t>
      </w:r>
    </w:p>
    <w:bookmarkEnd w:id="20"/>
    <w:bookmarkStart w:id="22" w:name="column_0_right_1_txtTitle"/>
    <w:bookmarkStart w:id="21" w:name="illustrated-examples"/>
    <w:p>
      <w:pPr>
        <w:pStyle w:val="Heading3"/>
      </w:pPr>
      <w:r>
        <w:t xml:space="preserve">Illustrated Examples</w:t>
      </w:r>
    </w:p>
    <w:bookmarkEnd w:id="21"/>
    <w:bookmarkEnd w:id="22"/>
    <w:p>
      <w:pPr>
        <w:pStyle w:val="FirstParagraph"/>
      </w:pPr>
      <w:hyperlink w:anchor="GCB"/>
    </w:p>
    <w:p>
      <w:pPr>
        <w:pStyle w:val="BodyText"/>
      </w:pPr>
      <w:r>
        <w:t xml:space="preserve">Redevelopment of Good Class Bungalow Plot</w:t>
      </w:r>
    </w:p>
    <w:bookmarkStart w:id="27" w:name="GCB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https://www.ura.gov.sg/-/media/Corporate/Guidelines/Development-control/Redevelopment/LH_Fig6_Redevelopment_A_A.jpg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 is an existing infill bungalow plot that is deficient in plot size (less than 1,400sqm)</w:t>
            </w:r>
            <w:r>
              <w:br/>
            </w:r>
            <w:r>
              <w:br/>
            </w:r>
            <w:r>
              <w:t xml:space="preserve">B may redevelop into a good class bungalow subject to compliance with good class bungalow guidelines.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https://www.ura.gov.sg/-/media/Corporate/Guidelines/Development-control/Redevelopment/LH_Fig6_Redevelopment_C_NA.jpg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amalgamated plot area is 4,100sqm. One of the new bungalow plots is less than 1,400sqm after subdivision.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https://www.ura.gov.sg/-/media/Corporate/Guidelines/Development-control/Redevelopment/LH_Fig6_Redevelopment_F_A.jpg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proposed site area of each new bungalow plots A &amp; B, is 1,400sqm. The site area of Plot C is less than 1,400sqm after vesting of land for road widening. Such land subdivision may be allowed provided that: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not more than 1 newly created plot is deficient in plot size after vesting of land; and</w:t>
            </w:r>
          </w:p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the deviation from minimum plot size shall not be more than 10%.</w:t>
            </w:r>
          </w:p>
        </w:tc>
      </w:tr>
    </w:tbl>
    <w:bookmarkStart w:id="26" w:name="GCB1"/>
    <w:bookmarkEnd w:id="26"/>
    <w:bookmarkEnd w:id="27"/>
    <w:p>
      <w:pPr>
        <w:pStyle w:val="FirstParagraph"/>
      </w:pPr>
      <w:hyperlink w:anchor="Semi-Detached"/>
    </w:p>
    <w:p>
      <w:pPr>
        <w:pStyle w:val="BodyText"/>
      </w:pPr>
      <w:r>
        <w:t xml:space="preserve">Redevelopment of Existing Semi-detached House to Bungalow or Semi-detached House</w:t>
      </w:r>
    </w:p>
    <w:bookmarkStart w:id="36" w:name="Semi-Detached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https://www.ura.gov.sg/-/media/Corporate/Guidelines/Development-control/Redevelopment/LH_Fig171_Redevelopment_A1_NA.jpg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A is not large enough for a standard bungalow. House B shall not be allowed to break away and be redeveloped into a bungalow.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https://www.ura.gov.sg/-/media/Corporate/Guidelines/Development-control/Redevelopment/LH_Fig171_Redevelopment_A2_A.jpg?h=876&amp;w=2201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 may redevelop into a semi-detached house and a bungalow.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https://www.ura.gov.sg/-/media/Corporate/Guidelines/Development-control/Redevelopment/LH_Fig171_Redevelopment_C1_A.jpg?h=876&amp;w=2580</w:t>
              </w:r>
            </w:hyperlink>
            <w:r>
              <w:br/>
            </w:r>
            <w:r>
              <w:br/>
            </w:r>
            <w:hyperlink r:id="rId31">
              <w:r>
                <w:rPr>
                  <w:rStyle w:val="Hyperlink"/>
                </w:rPr>
                <w:t xml:space="preserve">https://www.ura.gov.sg/-/media/Corporate/Guidelines/Development-control/Redevelopment/LH_Fig171_Redevelopment_C2_A.jpg?h=876&amp;w=2580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A may redevelop into a bungalow. House B may redevelop into a bungalow or a pair of semi-detached houses (in a semi-detached area).</w:t>
            </w:r>
            <w:r>
              <w:br/>
            </w:r>
            <w:r>
              <w:br/>
            </w:r>
            <w:r>
              <w:t xml:space="preserve">In a mixed landed area, House B may redevelop into a bungalow, a pair of semi-detached houses or 3 terrace houses.</w:t>
            </w:r>
            <w:r>
              <w:br/>
            </w:r>
            <w:r>
              <w:br/>
            </w:r>
            <w:r>
              <w:t xml:space="preserve">Owner of House B shall comply with the following conditions: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6"/>
              </w:numPr>
              <w:jc w:val="center"/>
            </w:pPr>
            <w:r>
              <w:t xml:space="preserve">Plaster and paint the exposed blank wall and neaten any exposed roof of the remaining house as soon as the existing building(s) on the subject site is demolished;</w:t>
            </w:r>
          </w:p>
          <w:p>
            <w:pPr>
              <w:pStyle w:val="Compact"/>
              <w:numPr>
                <w:ilvl w:val="0"/>
                <w:numId w:val="1006"/>
              </w:numPr>
              <w:jc w:val="center"/>
            </w:pPr>
            <w:r>
              <w:t xml:space="preserve">Allow the owner of the adjacent house access to the subject site to maintain or repair the roof and the exposed blank wall of the remaining house; and</w:t>
            </w:r>
          </w:p>
          <w:p>
            <w:pPr>
              <w:pStyle w:val="Compact"/>
              <w:numPr>
                <w:ilvl w:val="0"/>
                <w:numId w:val="1006"/>
              </w:numPr>
              <w:jc w:val="center"/>
            </w:pPr>
            <w:r>
              <w:t xml:space="preserve">Submit to BCA an engineer’s certification of the structural stability of the remaining house.</w:t>
            </w:r>
          </w:p>
        </w:tc>
      </w:tr>
    </w:tbl>
    <w:p>
      <w:pPr>
        <w:pStyle w:val="FirstParagraph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https://www.ura.gov.sg/-/media/Corporate/Guidelines/Development-control/Redevelopment/LH_Fig175_Redevelopment_A_NA.jpg?h=876&amp;w=2580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 shall not be allowed to redevelop into a semi-detached house and a bungalow because it would create a new blank wall at the common boundary with A.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https://www.ura.gov.sg/-/media/Corporate/Guidelines/Development-control/Redevelopment/LH_Fig175_Redevelopment_A_NA.jpg?h=876&amp;w=2580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A may redevelop into a bungalow. B shall not be allowed to redevelop into a semi-detached house and a bungalow because it would create a new blank wall at the common boundary with A if A breaks away and redevelops into a bungalow.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https://www.ura.gov.sg/-/media/Corporate/Guidelines/Development-control/Redevelopment/LH_Fig174_Redevelopment_A1_NA.jpg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 shall not be allowed to redevelop into 2 terrace houses because A is a semi-detached house.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https://www.ura.gov.sg/-/media/Corporate/Guidelines/Development-control/Redevelopment/LH_Fig174_Redevelopment_A2_A.jpg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 joint redevelopment by both A and B into 4 terrace houses may be allowed.</w:t>
            </w:r>
          </w:p>
        </w:tc>
      </w:tr>
    </w:tbl>
    <w:bookmarkStart w:id="35" w:name="Semi-Detached1"/>
    <w:bookmarkEnd w:id="35"/>
    <w:bookmarkEnd w:id="36"/>
    <w:p>
      <w:pPr>
        <w:pStyle w:val="BodyText"/>
      </w:pPr>
      <w:hyperlink w:anchor="Terrace"/>
    </w:p>
    <w:p>
      <w:pPr>
        <w:pStyle w:val="BodyText"/>
      </w:pPr>
      <w:r>
        <w:t xml:space="preserve">Redevelopment of Existing Intermediate Terrace House to Bungalow, Semi-detached and Corner Terrace</w:t>
      </w:r>
    </w:p>
    <w:bookmarkStart w:id="42" w:name="Terra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https://www.ura.gov.sg/-/media/Corporate/Guidelines/Development-control/Redevelopment/LH_Fig172_Redevelopment_A1_A.jpg</w:t>
              </w:r>
            </w:hyperlink>
            <w:r>
              <w:br/>
            </w:r>
            <w:r>
              <w:br/>
            </w:r>
            <w:hyperlink r:id="rId38">
              <w:r>
                <w:rPr>
                  <w:rStyle w:val="Hyperlink"/>
                </w:rPr>
                <w:t xml:space="preserve">https://www.ura.gov.sg/-/media/Corporate/Guidelines/Development-control/Redevelopment/LH_Fig172_Redevelopment_A2_A.jpg?h=876&amp;w=2906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D has sufficient plot size and plot width for a corner terrace house. House E can redevelop into a bungalow or a pair of semi-detached house.</w:t>
            </w:r>
            <w:r>
              <w:br/>
            </w:r>
            <w:r>
              <w:br/>
            </w:r>
            <w:r>
              <w:t xml:space="preserve">Owner of House E shall comply with the following conditions: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7"/>
              </w:numPr>
              <w:jc w:val="center"/>
            </w:pPr>
            <w:r>
              <w:t xml:space="preserve">Plaster and paint the exposed blank wall and neaten any exposed roof of the remaining house as soon as the existing building(s) on the subject site is demolished;</w:t>
            </w:r>
          </w:p>
          <w:p>
            <w:pPr>
              <w:pStyle w:val="Compact"/>
              <w:numPr>
                <w:ilvl w:val="0"/>
                <w:numId w:val="1007"/>
              </w:numPr>
              <w:jc w:val="center"/>
            </w:pPr>
            <w:r>
              <w:t xml:space="preserve">Allow the owner of the adjacent house access to the subject site to maintain or repair the roof and the exposed blank wall of the remaining house; and</w:t>
            </w:r>
          </w:p>
          <w:p>
            <w:pPr>
              <w:pStyle w:val="Compact"/>
              <w:numPr>
                <w:ilvl w:val="0"/>
                <w:numId w:val="1007"/>
              </w:numPr>
              <w:jc w:val="center"/>
            </w:pPr>
            <w:r>
              <w:t xml:space="preserve">Submit to BCA an engineer’s certification of the structural stability of the remaining house.</w:t>
            </w:r>
          </w:p>
          <w:p>
            <w:pPr>
              <w:pStyle w:val="Compact"/>
              <w:jc w:val="center"/>
            </w:pPr>
            <w:r>
              <w:t xml:space="preserve">House E may also redevelop into an intermediate terrace and corner terrace.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https://www.ura.gov.sg/-/media/Corporate/Guidelines/Development-control/Redevelopment/LH_Fig172_Redevelopment_B_NA.jpg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D does not have sufficient plot size and plot width for a corner terrace house. House E shall not be allowed to redevelop into a bungalow.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https://www.ura.gov.sg/-/media/Corporate/Guidelines/Development-control/Redevelopment/LH_Fig173_Redevelopment_B_A.jpg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 D may redevelop into a corner terrace house as it has sufficient plot size and plot width and Plot E has sufficient plot size and plot width to redevelop into a bungalow or a pair of semi-detached houses.</w:t>
            </w:r>
            <w:r>
              <w:br/>
            </w:r>
            <w:r>
              <w:br/>
            </w:r>
            <w:r>
              <w:t xml:space="preserve">Owner of House D shall comply with the following conditions: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8"/>
              </w:numPr>
              <w:jc w:val="center"/>
            </w:pPr>
            <w:r>
              <w:t xml:space="preserve">Plaster and paint the exposed blank wall and neaten any exposed roof of the remaining house as soon as the existing building(s) on the subject site is demolished;</w:t>
            </w:r>
          </w:p>
          <w:p>
            <w:pPr>
              <w:pStyle w:val="Compact"/>
              <w:numPr>
                <w:ilvl w:val="0"/>
                <w:numId w:val="1008"/>
              </w:numPr>
              <w:jc w:val="center"/>
            </w:pPr>
            <w:r>
              <w:t xml:space="preserve">Allow the owner of the adjacent house access to the subject site to maintain or repair the roof and the exposed blank wall of the remaining house; and</w:t>
            </w:r>
          </w:p>
          <w:p>
            <w:pPr>
              <w:pStyle w:val="Compact"/>
              <w:numPr>
                <w:ilvl w:val="0"/>
                <w:numId w:val="1008"/>
              </w:numPr>
              <w:jc w:val="center"/>
            </w:pPr>
            <w:r>
              <w:t xml:space="preserve">Submit to BCA an engineer’s certification of the structural stability of the remaining house.</w:t>
            </w:r>
          </w:p>
        </w:tc>
      </w:tr>
    </w:tbl>
    <w:bookmarkStart w:id="41" w:name="Terrace1"/>
    <w:bookmarkEnd w:id="41"/>
    <w:bookmarkEnd w:id="4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8 April 2024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www.ura.gov.sg/-/media/Corporate/Guidelines/Development-control/Redevelopment/LH_Fig171_Redevelopment_A1_NA.jpg" TargetMode="External" /><Relationship Type="http://schemas.openxmlformats.org/officeDocument/2006/relationships/hyperlink" Id="rId29" Target="https://www.ura.gov.sg/-/media/Corporate/Guidelines/Development-control/Redevelopment/LH_Fig171_Redevelopment_A2_A.jpg?h=876&amp;w=2201" TargetMode="External" /><Relationship Type="http://schemas.openxmlformats.org/officeDocument/2006/relationships/hyperlink" Id="rId30" Target="https://www.ura.gov.sg/-/media/Corporate/Guidelines/Development-control/Redevelopment/LH_Fig171_Redevelopment_C1_A.jpg?h=876&amp;w=2580" TargetMode="External" /><Relationship Type="http://schemas.openxmlformats.org/officeDocument/2006/relationships/hyperlink" Id="rId31" Target="https://www.ura.gov.sg/-/media/Corporate/Guidelines/Development-control/Redevelopment/LH_Fig171_Redevelopment_C2_A.jpg?h=876&amp;w=2580" TargetMode="External" /><Relationship Type="http://schemas.openxmlformats.org/officeDocument/2006/relationships/hyperlink" Id="rId37" Target="https://www.ura.gov.sg/-/media/Corporate/Guidelines/Development-control/Redevelopment/LH_Fig172_Redevelopment_A1_A.jpg" TargetMode="External" /><Relationship Type="http://schemas.openxmlformats.org/officeDocument/2006/relationships/hyperlink" Id="rId38" Target="https://www.ura.gov.sg/-/media/Corporate/Guidelines/Development-control/Redevelopment/LH_Fig172_Redevelopment_A2_A.jpg?h=876&amp;w=2906" TargetMode="External" /><Relationship Type="http://schemas.openxmlformats.org/officeDocument/2006/relationships/hyperlink" Id="rId39" Target="https://www.ura.gov.sg/-/media/Corporate/Guidelines/Development-control/Redevelopment/LH_Fig172_Redevelopment_B_NA.jpg" TargetMode="External" /><Relationship Type="http://schemas.openxmlformats.org/officeDocument/2006/relationships/hyperlink" Id="rId40" Target="https://www.ura.gov.sg/-/media/Corporate/Guidelines/Development-control/Redevelopment/LH_Fig173_Redevelopment_B_A.jpg" TargetMode="External" /><Relationship Type="http://schemas.openxmlformats.org/officeDocument/2006/relationships/hyperlink" Id="rId33" Target="https://www.ura.gov.sg/-/media/Corporate/Guidelines/Development-control/Redevelopment/LH_Fig174_Redevelopment_A1_NA.jpg" TargetMode="External" /><Relationship Type="http://schemas.openxmlformats.org/officeDocument/2006/relationships/hyperlink" Id="rId34" Target="https://www.ura.gov.sg/-/media/Corporate/Guidelines/Development-control/Redevelopment/LH_Fig174_Redevelopment_A2_A.jpg" TargetMode="External" /><Relationship Type="http://schemas.openxmlformats.org/officeDocument/2006/relationships/hyperlink" Id="rId32" Target="https://www.ura.gov.sg/-/media/Corporate/Guidelines/Development-control/Redevelopment/LH_Fig175_Redevelopment_A_NA.jpg?h=876&amp;w=2580" TargetMode="External" /><Relationship Type="http://schemas.openxmlformats.org/officeDocument/2006/relationships/hyperlink" Id="rId23" Target="https://www.ura.gov.sg/-/media/Corporate/Guidelines/Development-control/Redevelopment/LH_Fig6_Redevelopment_A_A.jpg" TargetMode="External" /><Relationship Type="http://schemas.openxmlformats.org/officeDocument/2006/relationships/hyperlink" Id="rId24" Target="https://www.ura.gov.sg/-/media/Corporate/Guidelines/Development-control/Redevelopment/LH_Fig6_Redevelopment_C_NA.jpg" TargetMode="External" /><Relationship Type="http://schemas.openxmlformats.org/officeDocument/2006/relationships/hyperlink" Id="rId25" Target="https://www.ura.gov.sg/-/media/Corporate/Guidelines/Development-control/Redevelopment/LH_Fig6_Redevelopment_F_A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ura.gov.sg/-/media/Corporate/Guidelines/Development-control/Redevelopment/LH_Fig171_Redevelopment_A1_NA.jpg" TargetMode="External" /><Relationship Type="http://schemas.openxmlformats.org/officeDocument/2006/relationships/hyperlink" Id="rId29" Target="https://www.ura.gov.sg/-/media/Corporate/Guidelines/Development-control/Redevelopment/LH_Fig171_Redevelopment_A2_A.jpg?h=876&amp;w=2201" TargetMode="External" /><Relationship Type="http://schemas.openxmlformats.org/officeDocument/2006/relationships/hyperlink" Id="rId30" Target="https://www.ura.gov.sg/-/media/Corporate/Guidelines/Development-control/Redevelopment/LH_Fig171_Redevelopment_C1_A.jpg?h=876&amp;w=2580" TargetMode="External" /><Relationship Type="http://schemas.openxmlformats.org/officeDocument/2006/relationships/hyperlink" Id="rId31" Target="https://www.ura.gov.sg/-/media/Corporate/Guidelines/Development-control/Redevelopment/LH_Fig171_Redevelopment_C2_A.jpg?h=876&amp;w=2580" TargetMode="External" /><Relationship Type="http://schemas.openxmlformats.org/officeDocument/2006/relationships/hyperlink" Id="rId37" Target="https://www.ura.gov.sg/-/media/Corporate/Guidelines/Development-control/Redevelopment/LH_Fig172_Redevelopment_A1_A.jpg" TargetMode="External" /><Relationship Type="http://schemas.openxmlformats.org/officeDocument/2006/relationships/hyperlink" Id="rId38" Target="https://www.ura.gov.sg/-/media/Corporate/Guidelines/Development-control/Redevelopment/LH_Fig172_Redevelopment_A2_A.jpg?h=876&amp;w=2906" TargetMode="External" /><Relationship Type="http://schemas.openxmlformats.org/officeDocument/2006/relationships/hyperlink" Id="rId39" Target="https://www.ura.gov.sg/-/media/Corporate/Guidelines/Development-control/Redevelopment/LH_Fig172_Redevelopment_B_NA.jpg" TargetMode="External" /><Relationship Type="http://schemas.openxmlformats.org/officeDocument/2006/relationships/hyperlink" Id="rId40" Target="https://www.ura.gov.sg/-/media/Corporate/Guidelines/Development-control/Redevelopment/LH_Fig173_Redevelopment_B_A.jpg" TargetMode="External" /><Relationship Type="http://schemas.openxmlformats.org/officeDocument/2006/relationships/hyperlink" Id="rId33" Target="https://www.ura.gov.sg/-/media/Corporate/Guidelines/Development-control/Redevelopment/LH_Fig174_Redevelopment_A1_NA.jpg" TargetMode="External" /><Relationship Type="http://schemas.openxmlformats.org/officeDocument/2006/relationships/hyperlink" Id="rId34" Target="https://www.ura.gov.sg/-/media/Corporate/Guidelines/Development-control/Redevelopment/LH_Fig174_Redevelopment_A2_A.jpg" TargetMode="External" /><Relationship Type="http://schemas.openxmlformats.org/officeDocument/2006/relationships/hyperlink" Id="rId32" Target="https://www.ura.gov.sg/-/media/Corporate/Guidelines/Development-control/Redevelopment/LH_Fig175_Redevelopment_A_NA.jpg?h=876&amp;w=2580" TargetMode="External" /><Relationship Type="http://schemas.openxmlformats.org/officeDocument/2006/relationships/hyperlink" Id="rId23" Target="https://www.ura.gov.sg/-/media/Corporate/Guidelines/Development-control/Redevelopment/LH_Fig6_Redevelopment_A_A.jpg" TargetMode="External" /><Relationship Type="http://schemas.openxmlformats.org/officeDocument/2006/relationships/hyperlink" Id="rId24" Target="https://www.ura.gov.sg/-/media/Corporate/Guidelines/Development-control/Redevelopment/LH_Fig6_Redevelopment_C_NA.jpg" TargetMode="External" /><Relationship Type="http://schemas.openxmlformats.org/officeDocument/2006/relationships/hyperlink" Id="rId25" Target="https://www.ura.gov.sg/-/media/Corporate/Guidelines/Development-control/Redevelopment/LH_Fig6_Redevelopment_F_A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2024-05-23T09:32:41Z</dcterms:created>
  <dcterms:modified xsi:type="dcterms:W3CDTF">2024-05-23T09:32:41Z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