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 for bungalows within GCBA</w:t>
      </w:r>
    </w:p>
    <w:p>
      <w:pPr>
        <w:pStyle w:val="BodyTex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 for bungalows outside GCBA</w:t>
      </w:r>
    </w:p>
    <w:p>
      <w:pPr>
        <w:pStyle w:val="BodyText"/>
      </w:pPr>
      <w:r>
        <w:t xml:space="preserve">The building setback requirements for bungalow developments are as follows:</w:t>
      </w:r>
    </w:p>
    <w:bookmarkEnd w:id="25"/>
    <w:bookmarkStart w:id="27" w:name="column_0_right_1_txtTitle"/>
    <w:bookmarkStart w:id="26" w:name="section"/>
    <w:p>
      <w:pPr>
        <w:pStyle w:val="Heading3"/>
      </w:pPr>
    </w:p>
    <w:bookmarkEnd w:id="26"/>
    <w:bookmarkEnd w:id="27"/>
    <w:p>
      <w:pPr>
        <w:pStyle w:val="FirstParagraph"/>
      </w:pPr>
      <w:hyperlink w:anchor="RB-GB"/>
    </w:p>
    <w:p>
      <w:pPr>
        <w:pStyle w:val="BodyText"/>
      </w:pPr>
      <w:r>
        <w:t xml:space="preserve">Road Buffer and Green Buffer</w:t>
      </w:r>
    </w:p>
    <w:bookmarkStart w:id="33"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GCBA</w:t>
            </w:r>
          </w:p>
        </w:tc>
        <w:tc>
          <w:tcPr/>
          <w:p>
            <w:pPr>
              <w:pStyle w:val="Compact"/>
              <w:jc w:val="center"/>
            </w:pPr>
            <w:r>
              <w:rPr>
                <w:b/>
                <w:bCs/>
              </w:rPr>
              <w:t xml:space="preserve">Other Bungalows</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c>
          <w:tcPr/>
          <w:p>
            <w:pPr>
              <w:pStyle w:val="Compact"/>
              <w:jc w:val="center"/>
            </w:pPr>
            <w:r>
              <w:t xml:space="preserve">Main building: 24m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c>
          <w:tcPr/>
          <w:p>
            <w:pPr>
              <w:pStyle w:val="Compact"/>
              <w:jc w:val="center"/>
            </w:pPr>
            <w:r>
              <w:t xml:space="preserve">Main building: 12m (incl. 5m green buffer)</w:t>
            </w:r>
            <w:r>
              <w:rPr>
                <w:vertAlign w:val="superscript"/>
              </w:rPr>
              <w:t xml:space="preserve">@</w:t>
            </w:r>
            <w:r>
              <w:br/>
            </w:r>
            <w:r>
              <w:br/>
            </w:r>
            <w:r>
              <w:t xml:space="preserve">Terrace/Patio, Car Porch: Maximum depth of the terrace/patio or car porch [to outermost roof eave line] protruding into the road buffer is 5m.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5.1m</w:t>
            </w:r>
            <w:r>
              <w:t xml:space="preserve"> </w:t>
            </w:r>
            <w:r>
              <w:t xml:space="preserve">             </w:t>
            </w:r>
          </w:p>
        </w:tc>
        <w:tc>
          <w:tcPr/>
          <w:p>
            <w:pPr>
              <w:pStyle w:val="Compact"/>
              <w:jc w:val="center"/>
            </w:pPr>
            <w:r>
              <w:t xml:space="preserve">Main building: 7.5m (incl. 3m green buffer)</w:t>
            </w:r>
            <w:r>
              <w:rPr>
                <w:vertAlign w:val="superscript"/>
              </w:rPr>
              <w:t xml:space="preserve">@</w:t>
            </w:r>
            <w:r>
              <w:br/>
            </w:r>
            <w:r>
              <w:br/>
            </w:r>
            <w:r>
              <w:t xml:space="preserve">Car Porch [to outermost roof eave line]: 2.4m</w:t>
            </w:r>
            <w:r>
              <w:rPr>
                <w:vertAlign w:val="superscript"/>
              </w:rPr>
              <w:t xml:space="preserve">#</w:t>
            </w:r>
            <w:r>
              <w:t xml:space="preserve">  </w:t>
            </w:r>
            <w:r>
              <w:br/>
            </w:r>
            <w:r>
              <w:br/>
            </w:r>
            <w:r>
              <w:t xml:space="preserve">Terrace/Patio: 2.4m</w:t>
            </w:r>
          </w:p>
        </w:tc>
      </w:tr>
      <w:tr>
        <w:tc>
          <w:tcPr/>
          <w:p>
            <w:pPr>
              <w:pStyle w:val="Compact"/>
              <w:jc w:val="center"/>
            </w:pPr>
            <w:r>
              <w:t xml:space="preserve">Category 5</w:t>
            </w:r>
          </w:p>
        </w:tc>
        <w:tc>
          <w:tcPr/>
          <w:p>
            <w:pPr>
              <w:pStyle w:val="Compact"/>
              <w:jc w:val="center"/>
            </w:pPr>
            <w:r>
              <w:t xml:space="preserve">Main building: 7.5m (no need for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5.1m</w:t>
            </w:r>
          </w:p>
        </w:tc>
        <w:tc>
          <w:tcPr/>
          <w:p>
            <w:pPr>
              <w:pStyle w:val="Compact"/>
              <w:jc w:val="center"/>
            </w:pPr>
            <w:r>
              <w:t xml:space="preserve">Main building: 7.5m (no need for green buffer)</w:t>
            </w:r>
            <w:r>
              <w:rPr>
                <w:vertAlign w:val="superscript"/>
              </w:rPr>
              <w:t xml:space="preserve">@</w:t>
            </w:r>
            <w:r>
              <w:br/>
            </w:r>
            <w:r>
              <w:br/>
            </w:r>
            <w:r>
              <w:t xml:space="preserve">Car Porch [to outermost roof eave line]: 2.4m</w:t>
            </w:r>
            <w:r>
              <w:rPr>
                <w:vertAlign w:val="superscript"/>
              </w:rPr>
              <w:t xml:space="preserve">#</w:t>
            </w:r>
            <w:r>
              <w:br/>
            </w:r>
            <w:r>
              <w:br/>
            </w:r>
            <w:r>
              <w:t xml:space="preserve">Terrace/Patio: 2.4m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8">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2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0"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r>
        <w:t xml:space="preserve">Ancillary Structures </w:t>
      </w:r>
      <w:r>
        <w:t xml:space="preserve">sub-section for the setback requirement for minor structures,</w:t>
      </w:r>
      <w:r>
        <w:t xml:space="preserve"> </w:t>
      </w:r>
      <w:hyperlink r:id="rId31">
        <w:r>
          <w:rPr>
            <w:rStyle w:val="Hyperlink"/>
          </w:rPr>
          <w:t xml:space="preserve">Basements</w:t>
        </w:r>
      </w:hyperlink>
      <w:r>
        <w:t xml:space="preserve"> </w:t>
      </w:r>
      <w:r>
        <w:t xml:space="preserve">section for basement setbacks, and</w:t>
      </w:r>
      <w:r>
        <w:t xml:space="preserve"> </w:t>
      </w:r>
      <w:hyperlink r:id="rId28">
        <w:r>
          <w:rPr>
            <w:rStyle w:val="Hyperlink"/>
          </w:rPr>
          <w:t xml:space="preserve">Building Appendages</w:t>
        </w:r>
      </w:hyperlink>
      <w:r>
        <w:t xml:space="preserve"> </w:t>
      </w:r>
      <w:r>
        <w:t xml:space="preserve">section for the allowable encroachment of minor building features into the setback areas.</w:t>
      </w:r>
    </w:p>
    <w:bookmarkStart w:id="32" w:name="RB-GB1"/>
    <w:bookmarkEnd w:id="32"/>
    <w:bookmarkEnd w:id="33"/>
    <w:p>
      <w:pPr>
        <w:pStyle w:val="BodyText"/>
      </w:pPr>
      <w:hyperlink w:anchor="Common-Boundary"/>
    </w:p>
    <w:p>
      <w:pPr>
        <w:pStyle w:val="BodyText"/>
      </w:pPr>
      <w:r>
        <w:t xml:space="preserve">Setbacks from Common Boundaries</w:t>
      </w:r>
    </w:p>
    <w:bookmarkStart w:id="35"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center"/>
            </w:pPr>
            <w:r>
              <w:rPr>
                <w:b/>
                <w:bCs/>
              </w:rPr>
              <w:t xml:space="preserve">GCBA</w:t>
            </w:r>
          </w:p>
        </w:tc>
        <w:tc>
          <w:tcPr/>
          <w:p>
            <w:pPr>
              <w:pStyle w:val="Compact"/>
              <w:jc w:val="left"/>
            </w:pPr>
            <w:r>
              <w:rPr>
                <w:b/>
                <w:bCs/>
              </w:rPr>
              <w:t xml:space="preserve">Outside GCBA</w:t>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center"/>
            </w:pPr>
            <w:r>
              <w:t xml:space="preserve">3m</w:t>
            </w:r>
            <w:r>
              <w:br/>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center"/>
            </w:pPr>
            <w:r>
              <w:t xml:space="preserve">1.6m</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8">
        <w:r>
          <w:rPr>
            <w:rStyle w:val="Hyperlink"/>
          </w:rPr>
          <w:t xml:space="preserve">Building Appendages</w:t>
        </w:r>
      </w:hyperlink>
      <w:r>
        <w:t xml:space="preserve"> </w:t>
      </w:r>
      <w:r>
        <w:t xml:space="preserve">section.</w:t>
      </w:r>
    </w:p>
    <w:p>
      <w:pPr>
        <w:pStyle w:val="BodyText"/>
      </w:pPr>
      <w:r>
        <w:t xml:space="preserve">Refer to Ancillary Structures sub-section for the setback requirement for minor structures,</w:t>
      </w:r>
      <w:r>
        <w:t xml:space="preserve"> </w:t>
      </w:r>
      <w:hyperlink r:id="rId31">
        <w:r>
          <w:rPr>
            <w:rStyle w:val="Hyperlink"/>
          </w:rPr>
          <w:t xml:space="preserve">Basements</w:t>
        </w:r>
      </w:hyperlink>
      <w:r>
        <w:t xml:space="preserve"> </w:t>
      </w:r>
      <w:r>
        <w:t xml:space="preserve">section for basement setbacks, and</w:t>
      </w:r>
      <w:r>
        <w:t xml:space="preserve"> </w:t>
      </w:r>
      <w:hyperlink r:id="rId28">
        <w:r>
          <w:rPr>
            <w:rStyle w:val="Hyperlink"/>
          </w:rPr>
          <w:t xml:space="preserve">Building Appendages</w:t>
        </w:r>
      </w:hyperlink>
      <w:r>
        <w:t xml:space="preserve"> </w:t>
      </w:r>
      <w:r>
        <w:t xml:space="preserve">section for allowable encroachment of minor building features into the setback areas.</w:t>
      </w:r>
    </w:p>
    <w:bookmarkStart w:id="34" w:name="Common-Boundary1"/>
    <w:bookmarkEnd w:id="34"/>
    <w:bookmarkEnd w:id="35"/>
    <w:p>
      <w:pPr>
        <w:pStyle w:val="BodyText"/>
      </w:pPr>
      <w:hyperlink w:anchor="Plots-outside-GCBA"/>
    </w:p>
    <w:p>
      <w:pPr>
        <w:pStyle w:val="BodyText"/>
      </w:pPr>
      <w:r>
        <w:t xml:space="preserve">Setbacks for an existing individual plot outside GCBA with more than one road frontage</w:t>
      </w:r>
    </w:p>
    <w:bookmarkStart w:id="41" w:name="Plots-outside-GCBA"/>
    <w:p>
      <w:pPr>
        <w:pStyle w:val="BodyText"/>
      </w:pPr>
      <w:r>
        <w:t xml:space="preserve">For an individual plot with more than one road frontage, the building setback requirements are shown in the figures below.</w:t>
      </w:r>
    </w:p>
    <w:p>
      <w:pPr>
        <w:pStyle w:val="BodyText"/>
      </w:pPr>
      <w:r>
        <w:drawing>
          <wp:inline>
            <wp:extent cx="9525" cy="9525"/>
            <wp:effectExtent b="0" l="0" r="0" t="0"/>
            <wp:docPr descr="" title="" id="3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Setbacks for a bungalow with more than 1 road frontage (Non-Cat 5 roads)</w:t>
      </w:r>
    </w:p>
    <w:p>
      <w:pPr>
        <w:pStyle w:val="BodyText"/>
      </w:pPr>
      <w:r>
        <w:drawing>
          <wp:inline>
            <wp:extent cx="9525" cy="9525"/>
            <wp:effectExtent b="0" l="0" r="0" t="0"/>
            <wp:docPr descr="" title="" id="3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Setbacks for a bungalow with more than 1 road frontage (Cat 5 roads)</w:t>
      </w:r>
    </w:p>
    <w:bookmarkStart w:id="40" w:name="Plots-outside-GCBA1"/>
    <w:bookmarkEnd w:id="40"/>
    <w:bookmarkEnd w:id="41"/>
    <w:p>
      <w:pPr>
        <w:pStyle w:val="BodyText"/>
      </w:pPr>
      <w:hyperlink w:anchor="Irregular-Odd-Shaped-Plots"/>
    </w:p>
    <w:p>
      <w:pPr>
        <w:pStyle w:val="BodyText"/>
      </w:pPr>
      <w:r>
        <w:t xml:space="preserve">Setbacks for existing irregular or odd-shaped plots (excluding newly created) outside GCBA</w:t>
      </w:r>
    </w:p>
    <w:bookmarkStart w:id="48" w:name="Irregular-Odd-Shaped-Plots"/>
    <w:p>
      <w:pPr>
        <w:pStyle w:val="BodyText"/>
      </w:pPr>
      <w:r>
        <w:t xml:space="preserve">For already existing irregular or odd-shaped plots (excluding newly created ones) outside GCBA, the standard 7.5m building setback from a road shall apply for a width of 8m, measured from the common boundary line with the adjoining neighbour. Beyond the 8m width, a reduced 2m building setback may be allowed, except for the car porch which requires a 2.4m setback.</w:t>
      </w:r>
    </w:p>
    <w:p>
      <w:pPr>
        <w:pStyle w:val="BodyText"/>
      </w:pPr>
      <w:r>
        <w:drawing>
          <wp:inline>
            <wp:extent cx="9525" cy="9525"/>
            <wp:effectExtent b="0" l="0" r="0" t="0"/>
            <wp:docPr descr="" title="" id="4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Setbacks for irregular/odd-shaped plots outside GCBA</w:t>
      </w:r>
    </w:p>
    <w:p>
      <w:pPr>
        <w:pStyle w:val="BodyText"/>
      </w:pPr>
      <w:r>
        <w:t xml:space="preserve">A plot is deemed irregular or odd-shaped if:</w:t>
      </w:r>
    </w:p>
    <w:p>
      <w:pPr>
        <w:pStyle w:val="Compact"/>
        <w:numPr>
          <w:ilvl w:val="0"/>
          <w:numId w:val="1001"/>
        </w:numPr>
      </w:pPr>
      <w:r>
        <w:t xml:space="preserve">It is an already </w:t>
      </w:r>
      <w:r>
        <w:t xml:space="preserve">existing</w:t>
      </w:r>
      <w:r>
        <w:t xml:space="preserve"> </w:t>
      </w:r>
      <w:r>
        <w:t xml:space="preserve">plot configuration;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46"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r>
              <w:drawing>
                <wp:inline>
                  <wp:extent cx="9525" cy="9525"/>
                  <wp:effectExtent b="0" l="0" r="0" t="0"/>
                  <wp:docPr descr="" title="" id="4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5"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tc>
      </w:tr>
      <w:tr>
        <w:tc>
          <w:tcPr>
            <w:gridSpan w:val="2"/>
          </w:tcPr>
          <w:p>
            <w:pPr>
              <w:pStyle w:val="Compact"/>
              <w:jc w:val="left"/>
            </w:pPr>
            <w:r>
              <w:t xml:space="preserve">B1 &amp; B2 are newly created constrained plots. Such new subdivisions are not eligible to apply the reduced front setback guideline.</w:t>
            </w:r>
          </w:p>
        </w:tc>
      </w:tr>
    </w:tbl>
    <w:bookmarkEnd w:id="46"/>
    <w:bookmarkStart w:id="47" w:name="Irregular-Odd-Shaped-Plots1"/>
    <w:bookmarkEnd w:id="47"/>
    <w:bookmarkEnd w:id="48"/>
    <w:p>
      <w:pPr>
        <w:pStyle w:val="BodyText"/>
      </w:pPr>
      <w:hyperlink w:anchor="Rear-Garden-Landed-Housing"/>
    </w:p>
    <w:p>
      <w:pPr>
        <w:pStyle w:val="BodyText"/>
      </w:pPr>
      <w:r>
        <w:t xml:space="preserve">Rear Garden Landed Housing</w:t>
      </w:r>
    </w:p>
    <w:bookmarkStart w:id="61"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9">
        <w:r>
          <w:rPr>
            <w:rStyle w:val="Hyperlink"/>
          </w:rPr>
          <w:t xml:space="preserve">Hong Leong Garden</w:t>
        </w:r>
      </w:hyperlink>
      <w:r>
        <w:t xml:space="preserve"> (PDF, 1.22 MB),</w:t>
      </w:r>
      <w:r>
        <w:t xml:space="preserve"> </w:t>
      </w:r>
      <w:hyperlink r:id="rId50">
        <w:r>
          <w:rPr>
            <w:rStyle w:val="Hyperlink"/>
          </w:rPr>
          <w:t xml:space="preserve">Clementi Green Estate</w:t>
        </w:r>
      </w:hyperlink>
      <w:r>
        <w:t xml:space="preserve"> (PDF, 1.05 MB),</w:t>
      </w:r>
      <w:r>
        <w:t xml:space="preserve"> </w:t>
      </w:r>
      <w:hyperlink r:id="rId51">
        <w:r>
          <w:rPr>
            <w:rStyle w:val="Hyperlink"/>
          </w:rPr>
          <w:t xml:space="preserve">Changi Heights</w:t>
        </w:r>
      </w:hyperlink>
      <w:r>
        <w:t xml:space="preserve"> (PDF, 1.25 MB),</w:t>
      </w:r>
      <w:r>
        <w:t xml:space="preserve"> </w:t>
      </w:r>
      <w:hyperlink r:id="rId52">
        <w:r>
          <w:rPr>
            <w:rStyle w:val="Hyperlink"/>
          </w:rPr>
          <w:t xml:space="preserve">Lasia Avenue</w:t>
        </w:r>
      </w:hyperlink>
      <w:r>
        <w:t xml:space="preserve"> (PDF, 1.15 MB),</w:t>
      </w:r>
      <w:r>
        <w:t xml:space="preserve"> </w:t>
      </w:r>
      <w:hyperlink r:id="rId53">
        <w:r>
          <w:rPr>
            <w:rStyle w:val="Hyperlink"/>
          </w:rPr>
          <w:t xml:space="preserve">Peach Garden</w:t>
        </w:r>
      </w:hyperlink>
      <w:r>
        <w:t xml:space="preserve"> (PDF, 1.18 MB),</w:t>
      </w:r>
      <w:r>
        <w:t xml:space="preserve"> </w:t>
      </w:r>
      <w:hyperlink r:id="rId54">
        <w:r>
          <w:rPr>
            <w:rStyle w:val="Hyperlink"/>
          </w:rPr>
          <w:t xml:space="preserve">The Inglewood</w:t>
        </w:r>
      </w:hyperlink>
      <w:r>
        <w:t xml:space="preserve"> (part) (PDF, 134 KB),</w:t>
      </w:r>
      <w:r>
        <w:t xml:space="preserve"> </w:t>
      </w:r>
      <w:hyperlink r:id="rId55">
        <w:r>
          <w:rPr>
            <w:rStyle w:val="Hyperlink"/>
          </w:rPr>
          <w:t xml:space="preserve">Ford Avenue</w:t>
        </w:r>
      </w:hyperlink>
      <w:r>
        <w:t xml:space="preserve"> (PDF, 1.11 MB) and</w:t>
      </w:r>
      <w:r>
        <w:t xml:space="preserve"> </w:t>
      </w:r>
      <w:hyperlink r:id="rId56">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w:t>
      </w:r>
      <w:r>
        <w:t xml:space="preserve"> </w:t>
      </w:r>
      <w:hyperlink r:id="rId57">
        <w:r>
          <w:rPr>
            <w:rStyle w:val="Hyperlink"/>
          </w:rPr>
          <w:t xml:space="preserve">Locational Criteria</w:t>
        </w:r>
      </w:hyperlink>
      <w:r>
        <w:t xml:space="preserve"> </w:t>
      </w:r>
      <w:r>
        <w:t xml:space="preserve">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r>
        <w:drawing>
          <wp:inline>
            <wp:extent cx="9525" cy="9525"/>
            <wp:effectExtent b="0" l="0" r="0" t="0"/>
            <wp:docPr descr="Rear garden landed housing" title="" id="5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5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Rear Garden Landed Housing</w:t>
      </w:r>
    </w:p>
    <w:p>
      <w:pPr>
        <w:pStyle w:val="BodyText"/>
      </w:pPr>
      <w:r>
        <w:t xml:space="preserve">All other relevant landed housing guidelines (eg site coverage,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60" w:name="Rear-Garden-Landed-Housing1"/>
    <w:bookmarkEnd w:id="60"/>
    <w:bookmarkEnd w:id="61"/>
    <w:p>
      <w:pPr>
        <w:pStyle w:val="BodyText"/>
      </w:pPr>
      <w:hyperlink w:anchor="Ancillary-Structures"/>
    </w:p>
    <w:p>
      <w:pPr>
        <w:pStyle w:val="BodyText"/>
      </w:pPr>
      <w:r>
        <w:t xml:space="preserve">Ancillary Structures</w:t>
      </w:r>
    </w:p>
    <w:bookmarkStart w:id="63" w:name="Ancillary-Structures"/>
    <w:p>
      <w:pPr>
        <w:pStyle w:val="BodyText"/>
      </w:pPr>
      <w:r>
        <w:t xml:space="preserve">Ancillary structures shall follow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Ancillary Structures</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Raised Swimming Pool</w:t>
            </w:r>
          </w:p>
        </w:tc>
        <w:tc>
          <w:tcPr>
            <w:vMerge w:val="restart"/>
          </w:tcPr>
          <w:p>
            <w:pPr>
              <w:pStyle w:val="Compact"/>
              <w:jc w:val="left"/>
            </w:pPr>
            <w:r>
              <w:t xml:space="preserve">Follow road buffer standards for main building</w:t>
            </w:r>
          </w:p>
        </w:tc>
        <w:tc>
          <w:tcPr/>
          <w:p>
            <w:pPr>
              <w:pStyle w:val="Compact"/>
              <w:jc w:val="left"/>
            </w:pPr>
            <w:r>
              <w:t xml:space="preserve">Outside GCBA: 2m</w:t>
            </w:r>
            <w:r>
              <w:br/>
            </w:r>
            <w:r>
              <w:t xml:space="preserve">Within GCBA: 3m</w:t>
            </w:r>
          </w:p>
        </w:tc>
      </w:tr>
      <w:tr>
        <w:tc>
          <w:tcPr/>
          <w:p>
            <w:pPr>
              <w:pStyle w:val="Compact"/>
              <w:jc w:val="left"/>
            </w:pPr>
            <w:r>
              <w:t xml:space="preserve">Water Tank</w:t>
            </w:r>
          </w:p>
        </w:tc>
        <w:tc>
          <w:tcPr>
            <w:gridSpan w:val="1"/>
            <w:vMerge w:val="continue"/>
          </w:tcPr>
          <w:p>
            <w:pPr/>
          </w:p>
        </w:tc>
        <w:tc>
          <w:tcPr/>
          <w:p>
            <w:pPr>
              <w:pStyle w:val="Compact"/>
              <w:jc w:val="left"/>
            </w:pPr>
            <w:r>
              <w:t xml:space="preserve">Outside GCBA: 2m</w:t>
            </w:r>
            <w:r>
              <w:br/>
            </w:r>
            <w:r>
              <w:t xml:space="preserve">GCBA: 3m</w:t>
            </w:r>
            <w:r>
              <w:br/>
            </w:r>
            <w:r>
              <w:br/>
            </w:r>
            <w:r>
              <w:t xml:space="preserve">Water tanks without pump may abut the boundary wall, if its height does not exceed the boundary wall height of 1.8m (maximum).</w:t>
            </w:r>
          </w:p>
        </w:tc>
      </w:tr>
      <w:tr>
        <w:tc>
          <w:tcPr/>
          <w:p>
            <w:pPr>
              <w:pStyle w:val="Compact"/>
              <w:jc w:val="left"/>
            </w:pPr>
            <w:r>
              <w:t xml:space="preserve">Water Pump</w:t>
            </w:r>
          </w:p>
        </w:tc>
        <w:tc>
          <w:tcPr>
            <w:gridSpan w:val="1"/>
            <w:vMerge w:val="continue"/>
          </w:tcPr>
          <w:p>
            <w:pPr/>
          </w:p>
        </w:tc>
        <w:tc>
          <w:tcPr/>
          <w:p>
            <w:pPr>
              <w:pStyle w:val="Compact"/>
              <w:jc w:val="left"/>
            </w:pPr>
            <w:r>
              <w:t xml:space="preserve">Outside GCBA: 2m</w:t>
            </w:r>
            <w:r>
              <w:br/>
            </w:r>
            <w:r>
              <w:t xml:space="preserve">GCBA: 3m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Letter boxes not more than 1.8m in height</w:t>
            </w:r>
          </w:p>
        </w:tc>
        <w:tc>
          <w:tcPr>
            <w:gridSpan w:val="2"/>
            <w:vMerge w:val="restart"/>
          </w:tcPr>
          <w:p>
            <w:pPr>
              <w:pStyle w:val="Compact"/>
              <w:jc w:val="left"/>
            </w:pPr>
            <w:r>
              <w:t xml:space="preserve">None</w:t>
            </w:r>
          </w:p>
        </w:tc>
      </w:tr>
      <w:tr>
        <w:tc>
          <w:tcPr/>
          <w:p>
            <w:pPr>
              <w:pStyle w:val="Compact"/>
              <w:jc w:val="left"/>
            </w:pPr>
            <w:r>
              <w:t xml:space="preserve">Meter compartment not more than 1.8m in height</w:t>
            </w:r>
          </w:p>
        </w:tc>
        <w:tc>
          <w:tcPr>
            <w:gridSpan w:val="2"/>
            <w:vMerge w:val="continue"/>
          </w:tcPr>
          <w:p>
            <w:pPr/>
          </w:p>
        </w:tc>
      </w:tr>
      <w:tr>
        <w:tc>
          <w:tcPr/>
          <w:p>
            <w:pPr>
              <w:pStyle w:val="Compact"/>
              <w:jc w:val="left"/>
            </w:pPr>
            <w:r>
              <w:t xml:space="preserve">Bin point not more than 1.8m in height</w:t>
            </w:r>
          </w:p>
        </w:tc>
        <w:tc>
          <w:tcPr>
            <w:gridSpan w:val="2"/>
            <w:vMerge w:val="continue"/>
          </w:tcPr>
          <w:p>
            <w:pPr/>
          </w:p>
        </w:tc>
      </w:tr>
      <w:tr>
        <w:tc>
          <w:tcPr/>
          <w:p>
            <w:pPr>
              <w:pStyle w:val="Compact"/>
              <w:jc w:val="left"/>
            </w:pPr>
            <w:r>
              <w:t xml:space="preserve">Guardhouse not more than 2.6m in height</w:t>
            </w:r>
          </w:p>
        </w:tc>
        <w:tc>
          <w:tcPr>
            <w:gridSpan w:val="2"/>
            <w:vMerge w:val="continue"/>
          </w:tcPr>
          <w:p>
            <w:pPr/>
          </w:p>
        </w:tc>
      </w:tr>
      <w:tr>
        <w:tc>
          <w:tcPr>
            <w:gridSpan w:val="3"/>
          </w:tcPr>
          <w:p>
            <w:pPr>
              <w:pStyle w:val="Compact"/>
              <w:jc w:val="left"/>
            </w:pPr>
            <w:r>
              <w:t xml:space="preserve">Setback requirement for other ancillary structures not mentioned in this table shall be assessed on the merits of the proposal.</w:t>
            </w:r>
          </w:p>
        </w:tc>
      </w:tr>
    </w:tbl>
    <w:bookmarkStart w:id="62" w:name="Ancillary-Structures1"/>
    <w:bookmarkEnd w:id="62"/>
    <w:bookmarkEnd w:id="63"/>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4" Target="/-/media/Corporate/Guidelines/Development-control/Circulars/2018/Nov/dc18-10/dc18-10-Annex-1.pdf" TargetMode="External" /><Relationship Type="http://schemas.openxmlformats.org/officeDocument/2006/relationships/hyperlink" Id="rId51" Target="/-/media/Corporate/Guidelines/Development-control/Street-Block-Plans/Changi-Heights.pdf" TargetMode="External" /><Relationship Type="http://schemas.openxmlformats.org/officeDocument/2006/relationships/hyperlink" Id="rId50" Target="/-/media/Corporate/Guidelines/Development-control/Street-Block-Plans/Clementi-Green-Estate.pdf" TargetMode="External" /><Relationship Type="http://schemas.openxmlformats.org/officeDocument/2006/relationships/hyperlink" Id="rId55" Target="/-/media/Corporate/Guidelines/Development-control/Street-Block-Plans/Ford-Avenue.pdf" TargetMode="External" /><Relationship Type="http://schemas.openxmlformats.org/officeDocument/2006/relationships/hyperlink" Id="rId49" Target="/-/media/Corporate/Guidelines/Development-control/Street-Block-Plans/Hong-Leong-Garden-Estate.pdf" TargetMode="External" /><Relationship Type="http://schemas.openxmlformats.org/officeDocument/2006/relationships/hyperlink" Id="rId52" Target="/-/media/Corporate/Guidelines/Development-control/Street-Block-Plans/Lasia-Avenue.pdf" TargetMode="External" /><Relationship Type="http://schemas.openxmlformats.org/officeDocument/2006/relationships/hyperlink" Id="rId53" Target="/-/media/Corporate/Guidelines/Development-control/Street-Block-Plans/Peach-Garden.pdf" TargetMode="External" /><Relationship Type="http://schemas.openxmlformats.org/officeDocument/2006/relationships/hyperlink" Id="rId56" Target="/-/media/Corporate/Guidelines/Development-control/Street-Block-Plans/Yuk-Tong-Avenue.pdf" TargetMode="External" /><Relationship Type="http://schemas.openxmlformats.org/officeDocument/2006/relationships/hyperlink" Id="rId28" Target="/Corporate/Guidelines/Development-Control/Residential/Bungalows/Building-Appendages" TargetMode="External" /><Relationship Type="http://schemas.openxmlformats.org/officeDocument/2006/relationships/hyperlink" Id="rId31" Target="/Corporate/Guidelines/Development-Control/Residential/Bungalows/EC" TargetMode="External" /><Relationship Type="http://schemas.openxmlformats.org/officeDocument/2006/relationships/hyperlink" Id="rId57" Target="/Corporate/Guidelines/Development-Control/Residential/Bungalows/Locational-Criteria" TargetMode="External" /></Relationships>
</file>

<file path=word/_rels/footnotes.xml.rels><?xml version="1.0" encoding="UTF-8"?><Relationships xmlns="http://schemas.openxmlformats.org/package/2006/relationships"><Relationship Type="http://schemas.openxmlformats.org/officeDocument/2006/relationships/hyperlink" Id="rId54" Target="/-/media/Corporate/Guidelines/Development-control/Circulars/2018/Nov/dc18-10/dc18-10-Annex-1.pdf" TargetMode="External" /><Relationship Type="http://schemas.openxmlformats.org/officeDocument/2006/relationships/hyperlink" Id="rId51" Target="/-/media/Corporate/Guidelines/Development-control/Street-Block-Plans/Changi-Heights.pdf" TargetMode="External" /><Relationship Type="http://schemas.openxmlformats.org/officeDocument/2006/relationships/hyperlink" Id="rId50" Target="/-/media/Corporate/Guidelines/Development-control/Street-Block-Plans/Clementi-Green-Estate.pdf" TargetMode="External" /><Relationship Type="http://schemas.openxmlformats.org/officeDocument/2006/relationships/hyperlink" Id="rId55" Target="/-/media/Corporate/Guidelines/Development-control/Street-Block-Plans/Ford-Avenue.pdf" TargetMode="External" /><Relationship Type="http://schemas.openxmlformats.org/officeDocument/2006/relationships/hyperlink" Id="rId49" Target="/-/media/Corporate/Guidelines/Development-control/Street-Block-Plans/Hong-Leong-Garden-Estate.pdf" TargetMode="External" /><Relationship Type="http://schemas.openxmlformats.org/officeDocument/2006/relationships/hyperlink" Id="rId52" Target="/-/media/Corporate/Guidelines/Development-control/Street-Block-Plans/Lasia-Avenue.pdf" TargetMode="External" /><Relationship Type="http://schemas.openxmlformats.org/officeDocument/2006/relationships/hyperlink" Id="rId53" Target="/-/media/Corporate/Guidelines/Development-control/Street-Block-Plans/Peach-Garden.pdf" TargetMode="External" /><Relationship Type="http://schemas.openxmlformats.org/officeDocument/2006/relationships/hyperlink" Id="rId56" Target="/-/media/Corporate/Guidelines/Development-control/Street-Block-Plans/Yuk-Tong-Avenue.pdf" TargetMode="External" /><Relationship Type="http://schemas.openxmlformats.org/officeDocument/2006/relationships/hyperlink" Id="rId28" Target="/Corporate/Guidelines/Development-Control/Residential/Bungalows/Building-Appendages" TargetMode="External" /><Relationship Type="http://schemas.openxmlformats.org/officeDocument/2006/relationships/hyperlink" Id="rId31" Target="/Corporate/Guidelines/Development-Control/Residential/Bungalows/EC" TargetMode="External" /><Relationship Type="http://schemas.openxmlformats.org/officeDocument/2006/relationships/hyperlink" Id="rId57" Target="/Corporate/Guidelines/Development-Control/Residential/Bungalows/Locational-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2024-05-23T00:52:20Z</dcterms:created>
  <dcterms:modified xsi:type="dcterms:W3CDTF">2024-05-23T00:52:20Z</dcterms:modified>
</cp:coreProperties>
</file>

<file path=docProps/custom.xml><?xml version="1.0" encoding="utf-8"?>
<Properties xmlns="http://schemas.openxmlformats.org/officeDocument/2006/custom-properties" xmlns:vt="http://schemas.openxmlformats.org/officeDocument/2006/docPropsVTypes"/>
</file>