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ite-coverage"/>
    <w:p>
      <w:pPr>
        <w:pStyle w:val="Heading3"/>
      </w:pPr>
      <w:r>
        <w:t xml:space="preserve">Site Coverage</w:t>
      </w:r>
    </w:p>
    <w:p>
      <w:pPr>
        <w:pStyle w:val="FirstParagraph"/>
      </w:pPr>
      <w:r>
        <w:t xml:space="preserve">Site coverage is computed based on the footprint of the building and coverage of all building features (raised 1m or more above ground level) when viewed from above.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https://www.ura.gov.sg/-/media/Corporate/Guidelines/Development-control/Landed-Housing/SC02_Site_Coverage_Plan_House.jpg?h=100%25&amp;w=100%25</w:t>
        </w:r>
      </w:hyperlink>
    </w:p>
    <w:p>
      <w:pPr>
        <w:pStyle w:val="BodyText"/>
      </w:pPr>
      <w:r>
        <w:rPr>
          <w:i/>
          <w:iCs/>
        </w:rPr>
        <w:t xml:space="preserve">Site Coverage Plan Example for a Detached House</w:t>
      </w:r>
    </w:p>
    <w:p>
      <w:pPr>
        <w:pStyle w:val="BodyText"/>
      </w:pPr>
      <w:r>
        <w:rPr>
          <w:b/>
          <w:bCs/>
        </w:rPr>
        <w:t xml:space="preserve">Guidelines on Site Coverage for Bungalows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Site Coverage (Maximum)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Within GCBA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Outside GCBA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50%</w:t>
            </w:r>
          </w:p>
        </w:tc>
      </w:tr>
    </w:tbl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ura.gov.sg/-/media/Corporate/Guidelines/Development-control/Landed-Housing/SC02_Site_Coverage_Plan_House.jpg?h=100%25&amp;w=100%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ura.gov.sg/-/media/Corporate/Guidelines/Development-control/Landed-Housing/SC02_Site_Coverage_Plan_House.jpg?h=100%25&amp;w=100%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2024-05-23T09:32:42Z</dcterms:created>
  <dcterms:modified xsi:type="dcterms:W3CDTF">2024-05-23T09:32:42Z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