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The Bonus GFA schemes applicable to flats and condominiums are:</w:t>
      </w:r>
    </w:p>
    <w:bookmarkEnd w:id="20"/>
    <w:bookmarkStart w:id="22" w:name="column_0_right_1_txtTitle"/>
    <w:bookmarkStart w:id="21" w:name="section"/>
    <w:p>
      <w:pPr>
        <w:pStyle w:val="Heading3"/>
      </w:pPr>
    </w:p>
    <w:bookmarkEnd w:id="21"/>
    <w:bookmarkEnd w:id="22"/>
    <w:p>
      <w:pPr>
        <w:pStyle w:val="FirstParagraph"/>
      </w:pPr>
      <w:hyperlink w:anchor="Balcony-Incentive-Scheme"/>
    </w:p>
    <w:p>
      <w:pPr>
        <w:pStyle w:val="BodyText"/>
      </w:pPr>
      <w:r>
        <w:t xml:space="preserve">Balcony Incentive Scheme</w:t>
      </w:r>
    </w:p>
    <w:bookmarkStart w:id="25" w:name="Balcony-Incentive-Scheme"/>
    <w:p>
      <w:pPr>
        <w:pStyle w:val="BodyText"/>
      </w:pPr>
      <w:r>
        <w:t xml:space="preserve">Refer to section on</w:t>
      </w:r>
      <w:r>
        <w:t xml:space="preserve"> </w:t>
      </w:r>
      <w:hyperlink r:id="rId23">
        <w:r>
          <w:rPr>
            <w:rStyle w:val="Hyperlink"/>
          </w:rPr>
          <w:t xml:space="preserve">Balconies, Private Enclosed Spaces, Private Roof Terraces, &amp; Indoor Recreation Spaces</w:t>
        </w:r>
      </w:hyperlink>
      <w:r>
        <w:t xml:space="preserve">.</w:t>
      </w:r>
    </w:p>
    <w:bookmarkStart w:id="24" w:name="Balcony-Incentive-Scheme1"/>
    <w:bookmarkEnd w:id="24"/>
    <w:bookmarkEnd w:id="25"/>
    <w:p>
      <w:pPr>
        <w:pStyle w:val="BodyText"/>
      </w:pPr>
      <w:hyperlink w:anchor="Conserved-Bungalows-Scheme"/>
    </w:p>
    <w:p>
      <w:pPr>
        <w:pStyle w:val="BodyText"/>
      </w:pPr>
      <w:r>
        <w:t xml:space="preserve">Conserved Bungalows Scheme</w:t>
      </w:r>
    </w:p>
    <w:bookmarkStart w:id="31" w:name="Conserved-Bungalows-Scheme"/>
    <w:p>
      <w:pPr>
        <w:pStyle w:val="BodyText"/>
      </w:pPr>
      <w:r>
        <w:t xml:space="preserve">The GFA of conserved bungalows may be computed as additional GFA over and above the GPR stipulated in the prevailing Master Plan.</w:t>
      </w:r>
    </w:p>
    <w:bookmarkStart w:id="30" w:name="Conserved-Bungalows-Scheme1"/>
    <w:p>
      <w:pPr>
        <w:pStyle w:val="BodyText"/>
      </w:pPr>
      <w:hyperlink w:anchor="Eligibility"/>
    </w:p>
    <w:bookmarkStart w:id="26" w:name="eligibility"/>
    <w:p>
      <w:pPr>
        <w:pStyle w:val="Heading4"/>
      </w:pPr>
      <w:r>
        <w:t xml:space="preserve">Eligibility</w:t>
      </w:r>
    </w:p>
    <w:bookmarkEnd w:id="26"/>
    <w:bookmarkStart w:id="27" w:name="Eligibility"/>
    <w:p>
      <w:pPr>
        <w:pStyle w:val="FirstParagraph"/>
      </w:pPr>
      <w:r>
        <w:t xml:space="preserve">The incentive is applicable to all bungalows meeting the following criteria:</w:t>
      </w:r>
    </w:p>
    <w:p>
      <w:pPr>
        <w:pStyle w:val="Compact"/>
        <w:numPr>
          <w:ilvl w:val="0"/>
          <w:numId w:val="1001"/>
        </w:numPr>
      </w:pPr>
      <w:r>
        <w:t xml:space="preserve">Volunteered for conservation or designated for conservation by URA; and</w:t>
      </w:r>
    </w:p>
    <w:p>
      <w:pPr>
        <w:pStyle w:val="Compact"/>
        <w:numPr>
          <w:ilvl w:val="0"/>
          <w:numId w:val="1001"/>
        </w:numPr>
      </w:pPr>
      <w:r>
        <w:t xml:space="preserve">Located on a site with GPR control.</w:t>
      </w:r>
    </w:p>
    <w:bookmarkEnd w:id="27"/>
    <w:p>
      <w:pPr>
        <w:pStyle w:val="FirstParagraph"/>
      </w:pPr>
      <w:hyperlink w:anchor="Submission"/>
    </w:p>
    <w:bookmarkStart w:id="28" w:name="submission"/>
    <w:p>
      <w:pPr>
        <w:pStyle w:val="Heading4"/>
      </w:pPr>
      <w:r>
        <w:t xml:space="preserve">Submission</w:t>
      </w:r>
    </w:p>
    <w:bookmarkEnd w:id="28"/>
    <w:bookmarkStart w:id="29" w:name="Submission"/>
    <w:p>
      <w:pPr>
        <w:pStyle w:val="FirstParagraph"/>
      </w:pPr>
      <w:r>
        <w:t xml:space="preserve">Submissions of Development Applications involving conserved bungalows shall be made only by a Qualified Person (QP), who is registered as an Architect under the Architects Act and who has in force a practising certificate issued under the Act.</w:t>
      </w:r>
    </w:p>
    <w:p>
      <w:pPr>
        <w:pStyle w:val="BodyText"/>
      </w:pPr>
      <w:r>
        <w:t xml:space="preserve">The QP shall demarcate the area of the conserved bungalow in the submission and declare the additional GFA from the conserved bungalow in the application form.</w:t>
      </w:r>
    </w:p>
    <w:bookmarkEnd w:id="29"/>
    <w:bookmarkEnd w:id="30"/>
    <w:bookmarkEnd w:id="31"/>
    <w:p>
      <w:pPr>
        <w:pStyle w:val="BodyText"/>
      </w:pPr>
      <w:hyperlink w:anchor="Indoor-Recreation-Spaces-Scheme"/>
    </w:p>
    <w:p>
      <w:pPr>
        <w:pStyle w:val="BodyText"/>
      </w:pPr>
      <w:r>
        <w:t xml:space="preserve">Indoor Recreation Spaces Scheme</w:t>
      </w:r>
    </w:p>
    <w:bookmarkStart w:id="33" w:name="Indoor-Recreation-Spaces-Scheme"/>
    <w:p>
      <w:pPr>
        <w:pStyle w:val="BodyText"/>
      </w:pPr>
      <w:r>
        <w:t xml:space="preserve">Refer to section on</w:t>
      </w:r>
      <w:r>
        <w:t xml:space="preserve"> </w:t>
      </w:r>
      <w:hyperlink r:id="rId23">
        <w:r>
          <w:rPr>
            <w:rStyle w:val="Hyperlink"/>
          </w:rPr>
          <w:t xml:space="preserve">Balconies, Private Enclosed Spaces, Private Roof Terraces, &amp; Indoor Recreation Spaces</w:t>
        </w:r>
      </w:hyperlink>
      <w:r>
        <w:t xml:space="preserve">.</w:t>
      </w:r>
    </w:p>
    <w:bookmarkStart w:id="32" w:name="Indoor-Recreation-Spaces-Scheme1"/>
    <w:bookmarkEnd w:id="32"/>
    <w:bookmarkEnd w:id="33"/>
    <w:p>
      <w:pPr>
        <w:pStyle w:val="BodyText"/>
      </w:pPr>
      <w:hyperlink w:anchor="Built-Environment-Transformation-Scheme"/>
    </w:p>
    <w:p>
      <w:pPr>
        <w:pStyle w:val="BodyText"/>
      </w:pPr>
      <w:r>
        <w:t xml:space="preserve">Built Environment Transformation Scheme</w:t>
      </w:r>
    </w:p>
    <w:bookmarkStart w:id="49"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48" w:name="Built-Environment-Transformation-Scheme1"/>
    <w:p>
      <w:pPr>
        <w:pStyle w:val="BodyText"/>
      </w:pPr>
      <w:hyperlink w:anchor="BE-Eligibility"/>
    </w:p>
    <w:bookmarkStart w:id="34" w:name="eligibility-1"/>
    <w:p>
      <w:pPr>
        <w:pStyle w:val="Heading4"/>
      </w:pPr>
      <w:r>
        <w:t xml:space="preserve">Eligibility</w:t>
      </w:r>
    </w:p>
    <w:bookmarkEnd w:id="34"/>
    <w:bookmarkStart w:id="36"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35">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36"/>
    <w:p>
      <w:pPr>
        <w:pStyle w:val="BodyText"/>
      </w:pPr>
      <w:hyperlink w:anchor="Quantum-of-bonus-GFA-allowed"/>
    </w:p>
    <w:bookmarkStart w:id="37" w:name="quantum-of-bonus-gfa-allowed"/>
    <w:p>
      <w:pPr>
        <w:pStyle w:val="Heading4"/>
      </w:pPr>
      <w:r>
        <w:t xml:space="preserve">Quantum of bonus GFA allowed</w:t>
      </w:r>
    </w:p>
    <w:bookmarkEnd w:id="37"/>
    <w:bookmarkStart w:id="39"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38" w:name="ftn1"/>
    <w:bookmarkEnd w:id="38"/>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39"/>
    <w:p>
      <w:pPr>
        <w:pStyle w:val="BodyText"/>
      </w:pPr>
      <w:hyperlink w:anchor="BE-Submission"/>
    </w:p>
    <w:bookmarkStart w:id="40" w:name="submission-1"/>
    <w:p>
      <w:pPr>
        <w:pStyle w:val="Heading4"/>
      </w:pPr>
      <w:r>
        <w:t xml:space="preserve">Submission</w:t>
      </w:r>
    </w:p>
    <w:bookmarkEnd w:id="40"/>
    <w:bookmarkStart w:id="44"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41">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42">
        <w:r>
          <w:rPr>
            <w:rStyle w:val="Hyperlink"/>
          </w:rPr>
          <w:t xml:space="preserve">BE Transformation GFA computation form</w:t>
        </w:r>
      </w:hyperlink>
      <w:r>
        <w:t xml:space="preserve">. The submission process and verification of ITM outcomes is summarised at this</w:t>
      </w:r>
      <w:r>
        <w:t xml:space="preserve"> </w:t>
      </w:r>
      <w:hyperlink r:id="rId43">
        <w:r>
          <w:rPr>
            <w:rStyle w:val="Hyperlink"/>
          </w:rPr>
          <w:t xml:space="preserve">link</w:t>
        </w:r>
      </w:hyperlink>
      <w:r>
        <w:t xml:space="preserve">.</w:t>
      </w:r>
    </w:p>
    <w:bookmarkEnd w:id="44"/>
    <w:p>
      <w:pPr>
        <w:pStyle w:val="BodyText"/>
      </w:pPr>
      <w:hyperlink w:anchor="Xebaf602d1b24a74da11e2aacd019e31f2216fc1"/>
    </w:p>
    <w:bookmarkStart w:id="45" w:name="Xf9349beca6db91f17f351ef983e7a6f1ed398c1"/>
    <w:p>
      <w:pPr>
        <w:pStyle w:val="Heading4"/>
      </w:pPr>
      <w:r>
        <w:t xml:space="preserve">Requirements on ITM Outcomes for Bonus BE Transformation GFA</w:t>
      </w:r>
    </w:p>
    <w:bookmarkEnd w:id="45"/>
    <w:bookmarkStart w:id="47" w:name="Xebaf602d1b24a74da11e2aacd019e31f2216fc1"/>
    <w:p>
      <w:pPr>
        <w:pStyle w:val="FirstParagraph"/>
      </w:pPr>
      <w:r>
        <w:t xml:space="preserve">Applicants are to comply with BE ITM outcomes for the bonus scheme based on the</w:t>
      </w:r>
      <w:r>
        <w:t xml:space="preserve"> </w:t>
      </w:r>
      <w:hyperlink r:id="rId46">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47"/>
    <w:bookmarkEnd w:id="48"/>
    <w:bookmarkEnd w:id="49"/>
    <w:p>
      <w:pPr>
        <w:pStyle w:val="BodyText"/>
      </w:pPr>
      <w:r>
        <w:t xml:space="preserve">The Bonus GFA is allowed over and above the MP GPR subject to a maximum of 10% of the MP GPR. When the site is redeveloped in future, the additional GFA already used under the bonus GFA incentive schemes shall not be carried over. In other words, the GPR for the site shall revert to the GPR specified in the prevailing MP.</w:t>
      </w:r>
    </w:p>
    <w:p>
      <w:pPr>
        <w:pStyle w:val="BodyText"/>
      </w:pPr>
      <w:r>
        <w:t xml:space="preserve">Although a site may make use of multiple bonus GFA incentive schemes, the total bonus GFA shall not exceed the overall cap of 10% above the MP GPR.</w:t>
      </w:r>
    </w:p>
    <w:p>
      <w:r>
        <w:pict>
          <v:rect style="width:0;height:1.5pt" o:hralign="center" o:hrstd="t" o:hr="t"/>
        </w:pict>
      </w:r>
    </w:p>
    <w:p>
      <w:pPr>
        <w:pStyle w:val="FirstParagraph"/>
      </w:pPr>
      <w:r>
        <w:rPr>
          <w:i/>
          <w:iCs/>
        </w:rPr>
        <w:t xml:space="preserve">Last updated on 21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media/Corporate/Guidelines/Development-control/Flats-Condominiums/BE-Transformation-GFA-computation-form.pdf" TargetMode="External" /><Relationship Type="http://schemas.openxmlformats.org/officeDocument/2006/relationships/hyperlink" Id="rId43" Target="/-/media/Corporate/Guidelines/Development-control/Flats-Condominiums/BE-Transformation-Submission-process.pdf" TargetMode="External" /><Relationship Type="http://schemas.openxmlformats.org/officeDocument/2006/relationships/hyperlink" Id="rId46" Target="/-/media/Corporate/Guidelines/Development-control/Flats-Condominiums/BE-Transformation-building-type.pdf" TargetMode="External" /><Relationship Type="http://schemas.openxmlformats.org/officeDocument/2006/relationships/hyperlink" Id="rId23" Target="/Corporate/Guidelines/Development-Control/Residential/Flats-Condominiums/Balconies-PES-PRT" TargetMode="External" /><Relationship Type="http://schemas.openxmlformats.org/officeDocument/2006/relationships/hyperlink" Id="rId35" Target="file:///C:/Users/urawongyq/Documents/My%20documents/Updates/Flats%20and%20Condominiums%20-%20draft%20edit.docx#_ftn1" TargetMode="External" /><Relationship Type="http://schemas.openxmlformats.org/officeDocument/2006/relationships/hyperlink" Id="rId41" Target="https://form.gov.sg/610112199bdc0c00123abb25" TargetMode="External" /></Relationships>
</file>

<file path=word/_rels/footnotes.xml.rels><?xml version="1.0" encoding="UTF-8"?><Relationships xmlns="http://schemas.openxmlformats.org/package/2006/relationships"><Relationship Type="http://schemas.openxmlformats.org/officeDocument/2006/relationships/hyperlink" Id="rId42" Target="/-/media/Corporate/Guidelines/Development-control/Flats-Condominiums/BE-Transformation-GFA-computation-form.pdf" TargetMode="External" /><Relationship Type="http://schemas.openxmlformats.org/officeDocument/2006/relationships/hyperlink" Id="rId43" Target="/-/media/Corporate/Guidelines/Development-control/Flats-Condominiums/BE-Transformation-Submission-process.pdf" TargetMode="External" /><Relationship Type="http://schemas.openxmlformats.org/officeDocument/2006/relationships/hyperlink" Id="rId46" Target="/-/media/Corporate/Guidelines/Development-control/Flats-Condominiums/BE-Transformation-building-type.pdf" TargetMode="External" /><Relationship Type="http://schemas.openxmlformats.org/officeDocument/2006/relationships/hyperlink" Id="rId23" Target="/Corporate/Guidelines/Development-Control/Residential/Flats-Condominiums/Balconies-PES-PRT" TargetMode="External" /><Relationship Type="http://schemas.openxmlformats.org/officeDocument/2006/relationships/hyperlink" Id="rId35" Target="file:///C:/Users/urawongyq/Documents/My%20documents/Updates/Flats%20and%20Condominiums%20-%20draft%20edit.docx#_ftn1" TargetMode="External" /><Relationship Type="http://schemas.openxmlformats.org/officeDocument/2006/relationships/hyperlink" Id="rId41" Target="https://form.gov.sg/610112199bdc0c00123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2024-05-23T03:20:47Z</dcterms:created>
  <dcterms:modified xsi:type="dcterms:W3CDTF">2024-05-23T03:20:47Z</dcterms:modified>
</cp:coreProperties>
</file>

<file path=docProps/custom.xml><?xml version="1.0" encoding="utf-8"?>
<Properties xmlns="http://schemas.openxmlformats.org/officeDocument/2006/custom-properties" xmlns:vt="http://schemas.openxmlformats.org/officeDocument/2006/docPropsVTypes"/>
</file>