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Illustration of Aggregate Height Control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Building Height</w:t>
      </w:r>
    </w:p>
    <w:p>
      <w:pPr>
        <w:pStyle w:val="BodyText"/>
      </w:pPr>
      <w:r>
        <w:t xml:space="preserve">The overall building height for flats and condominiums shall be determined by the number of storeys and the prescribed floor-to-floor height.</w:t>
      </w:r>
    </w:p>
    <w:bookmarkEnd w:id="23"/>
    <w:bookmarkStart w:id="25" w:name="column_0_right_1_txtTitle"/>
    <w:bookmarkStart w:id="24" w:name="section"/>
    <w:p>
      <w:pPr>
        <w:pStyle w:val="Heading3"/>
      </w:pPr>
    </w:p>
    <w:bookmarkEnd w:id="24"/>
    <w:bookmarkEnd w:id="25"/>
    <w:p>
      <w:pPr>
        <w:pStyle w:val="FirstParagraph"/>
      </w:pPr>
      <w:hyperlink w:anchor="Number-of-Storeys"/>
    </w:p>
    <w:p>
      <w:pPr>
        <w:pStyle w:val="BodyText"/>
      </w:pPr>
      <w:r>
        <w:t xml:space="preserve">Number of Storeys</w:t>
      </w:r>
    </w:p>
    <w:bookmarkStart w:id="31" w:name="Number-of-Storeys"/>
    <w:p>
      <w:pPr>
        <w:pStyle w:val="BodyText"/>
      </w:pPr>
      <w:r>
        <w:t xml:space="preserve">For sites zoned Residential only, the number of storeys for flats and condominium developments shall be guided by the GPR as shown in the following table: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Number of Storeys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More than 36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Basement storeys that protrude more than 1.0m above ground level on any side shall be counted as a storey.</w:t>
      </w:r>
    </w:p>
    <w:p>
      <w:pPr>
        <w:pStyle w:val="BodyText"/>
      </w:pPr>
      <w:r>
        <w:t xml:space="preserve">The maximum no. of storeys may differ for the areas which:</w:t>
      </w:r>
    </w:p>
    <w:p>
      <w:pPr>
        <w:pStyle w:val="Compact"/>
        <w:numPr>
          <w:ilvl w:val="0"/>
          <w:numId w:val="1001"/>
        </w:numPr>
      </w:pPr>
      <w:r>
        <w:t xml:space="preserve">Have street block controls (refer to</w:t>
      </w:r>
      <w:r>
        <w:t xml:space="preserve"> </w:t>
      </w:r>
      <w:hyperlink r:id="rId26">
        <w:r>
          <w:rPr>
            <w:rStyle w:val="Hyperlink"/>
          </w:rPr>
          <w:t xml:space="preserve">Street Block Plans</w:t>
        </w:r>
      </w:hyperlink>
      <w:r>
        <w:t xml:space="preserve"> </w:t>
      </w:r>
      <w:r>
        <w:t xml:space="preserve">section);</w:t>
      </w:r>
    </w:p>
    <w:p>
      <w:pPr>
        <w:pStyle w:val="Compact"/>
        <w:numPr>
          <w:ilvl w:val="0"/>
          <w:numId w:val="1001"/>
        </w:numPr>
      </w:pPr>
      <w:r>
        <w:t xml:space="preserve">Have technical height controls (refer to</w:t>
      </w:r>
      <w:r>
        <w:t xml:space="preserve"> </w:t>
      </w:r>
      <w:hyperlink r:id="rId27">
        <w:r>
          <w:rPr>
            <w:rStyle w:val="Hyperlink"/>
          </w:rPr>
          <w:t xml:space="preserve">Building Height Plan</w:t>
        </w:r>
      </w:hyperlink>
      <w:r>
        <w:t xml:space="preserve"> </w:t>
      </w:r>
      <w:r>
        <w:t xml:space="preserve">in URA SPACE);</w:t>
      </w:r>
    </w:p>
    <w:p>
      <w:pPr>
        <w:pStyle w:val="Compact"/>
        <w:numPr>
          <w:ilvl w:val="0"/>
          <w:numId w:val="1001"/>
        </w:numPr>
      </w:pPr>
      <w:r>
        <w:t xml:space="preserve">Have conservation or urban design requirements;</w:t>
      </w:r>
    </w:p>
    <w:p>
      <w:pPr>
        <w:pStyle w:val="Compact"/>
        <w:numPr>
          <w:ilvl w:val="0"/>
          <w:numId w:val="1001"/>
        </w:numPr>
      </w:pPr>
      <w:r>
        <w:t xml:space="preserve">Have security considerations;</w:t>
      </w:r>
    </w:p>
    <w:p>
      <w:pPr>
        <w:pStyle w:val="Compact"/>
        <w:numPr>
          <w:ilvl w:val="0"/>
          <w:numId w:val="1001"/>
        </w:numPr>
      </w:pPr>
      <w:r>
        <w:t xml:space="preserve">Do not conform to the typical GPRs shown above, eg GPR 2.9, GPR 1.7;</w:t>
      </w:r>
    </w:p>
    <w:p>
      <w:pPr>
        <w:pStyle w:val="Compact"/>
        <w:numPr>
          <w:ilvl w:val="0"/>
          <w:numId w:val="1001"/>
        </w:numPr>
      </w:pPr>
      <w:r>
        <w:t xml:space="preserve">Are located in the vicinity of the Singapore Botanic Gardens (see map below), where there are current height restrictions to protect the visual amenity of the Singapore Botanic Gardens.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Map of Singapore Botanic Gardens height control area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Height Control Area for Singapore Botanic Gardens</w:t>
      </w:r>
    </w:p>
    <w:p>
      <w:pPr>
        <w:pStyle w:val="BodyText"/>
      </w:pPr>
      <w:r>
        <w:t xml:space="preserve">For (c) to (e), and for sites zoned Commercial/Residential and Residential with Commercial at 1</w:t>
      </w:r>
      <w:r>
        <w:rPr>
          <w:vertAlign w:val="superscript"/>
        </w:rPr>
        <w:t xml:space="preserve">st</w:t>
      </w:r>
      <w:r>
        <w:t xml:space="preserve"> Storey, the maximum number of storeys shall be subject to further evaluation at the formal Development Application stage.</w:t>
      </w:r>
    </w:p>
    <w:p>
      <w:pPr>
        <w:pStyle w:val="BodyText"/>
      </w:pPr>
      <w:r>
        <w:t xml:space="preserve">For (f), the allowable number of storeys shall be guided by the following table: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Number of Storeys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More than 30</w:t>
            </w:r>
          </w:p>
        </w:tc>
      </w:tr>
    </w:tbl>
    <w:bookmarkStart w:id="30" w:name="Number-of-Storeys1"/>
    <w:bookmarkEnd w:id="30"/>
    <w:bookmarkEnd w:id="31"/>
    <w:p>
      <w:pPr>
        <w:pStyle w:val="BodyText"/>
      </w:pPr>
      <w:hyperlink w:anchor="Floor-to-Floor-Height"/>
    </w:p>
    <w:p>
      <w:pPr>
        <w:pStyle w:val="BodyText"/>
      </w:pPr>
      <w:r>
        <w:t xml:space="preserve">Floor-to-Floor Height &amp; Aggregate Building Height</w:t>
      </w:r>
    </w:p>
    <w:bookmarkStart w:id="35" w:name="Floor-to-Floor-Height"/>
    <w:p>
      <w:pPr>
        <w:pStyle w:val="BodyText"/>
      </w:pPr>
      <w:r>
        <w:drawing>
          <wp:inline>
            <wp:extent cx="9525" cy="9525"/>
            <wp:effectExtent b="0" l="0" r="0" t="0"/>
            <wp:docPr descr="Illustration of Aggregate Height Control with Sky Terrace Floor" title="" id="3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Floor-to-Floor Height &amp; Aggregate Building Height</w:t>
      </w:r>
    </w:p>
    <w:p>
      <w:pPr>
        <w:pStyle w:val="BodyText"/>
      </w:pPr>
      <w:r>
        <w:t xml:space="preserve">In addition to the number of storeys control, the individual storeys shall be guided by the prescribed floor-to-floor height as shown in the table below.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 1.4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 1.6 and above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</w:t>
            </w:r>
            <w:r>
              <w:t xml:space="preserve">storey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Top storey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Other storeys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Variations to the floor-to-floor height of each storey may be allowed, provided the total building height is the sum of the prescribed floor-to-floor height control.</w:t>
      </w:r>
    </w:p>
    <w:bookmarkStart w:id="34" w:name="Floor-to-Floor-Height1"/>
    <w:bookmarkEnd w:id="34"/>
    <w:bookmarkEnd w:id="35"/>
    <w:p>
      <w:pPr>
        <w:pStyle w:val="BodyText"/>
      </w:pPr>
      <w:hyperlink w:anchor="Additional-Height"/>
    </w:p>
    <w:p>
      <w:pPr>
        <w:pStyle w:val="BodyText"/>
      </w:pPr>
      <w:r>
        <w:t xml:space="preserve">Additional Height for Predominant Sky Terrace Storey</w:t>
      </w:r>
    </w:p>
    <w:bookmarkStart w:id="40" w:name="Additional-Height"/>
    <w:p>
      <w:pPr>
        <w:pStyle w:val="BodyText"/>
      </w:pPr>
      <w:r>
        <w:drawing>
          <wp:inline>
            <wp:extent cx="9525" cy="9525"/>
            <wp:effectExtent b="0" l="0" r="0" t="0"/>
            <wp:docPr descr="Additional height for sky terrace floors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 Such floors may be allowed a floor-to-floor height of 5.0m. If the sky terrace occupies less than 60% of the floor plate, the floor-to-floor height shall comply with a 3.6m floor-to-floor height.</w:t>
      </w:r>
    </w:p>
    <w:p>
      <w:pPr>
        <w:pStyle w:val="BodyText"/>
      </w:pPr>
      <w:r>
        <w:t xml:space="preserve">If the proposed number of storeys in the development is more than 7 storeys, flats and condominiums with PSTS may be allowed additional building height depending on the number of storeys proposed as shown in the table below: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 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Both the 5.0m floor-to-floor height for PSTS and 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2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2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2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</w:t>
      </w:r>
      <w:r>
        <w:t xml:space="preserve"> </w:t>
      </w:r>
      <w:r>
        <w:t xml:space="preserve">to (a) – (c)</w:t>
      </w:r>
      <w:r>
        <w:t xml:space="preserve">, any additional building height will be subject to evaluation for developments adjacent to conserved buildings or in</w:t>
      </w:r>
      <w:r>
        <w:t xml:space="preserve"> </w:t>
      </w:r>
      <w:hyperlink r:id="rId38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9" w:name="Additional-Height1"/>
    <w:bookmarkEnd w:id="39"/>
    <w:bookmarkEnd w:id="4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/Corporate/Guidelines/Development-Control/Residential/Flats-Condominiums/Street-Block-Plans" TargetMode="External" /><Relationship Type="http://schemas.openxmlformats.org/officeDocument/2006/relationships/hyperlink" Id="rId38" Target="/Corporate/Guidelines/Urban-Design" TargetMode="External" /><Relationship Type="http://schemas.openxmlformats.org/officeDocument/2006/relationships/hyperlink" Id="rId27" Target="https://www.ura.gov.sg/maps/?service=B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/Corporate/Guidelines/Development-Control/Residential/Flats-Condominiums/Street-Block-Plans" TargetMode="External" /><Relationship Type="http://schemas.openxmlformats.org/officeDocument/2006/relationships/hyperlink" Id="rId38" Target="/Corporate/Guidelines/Urban-Design" TargetMode="External" /><Relationship Type="http://schemas.openxmlformats.org/officeDocument/2006/relationships/hyperlink" Id="rId27" Target="https://www.ura.gov.sg/maps/?service=B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2024-05-23T00:52:22Z</dcterms:created>
  <dcterms:modified xsi:type="dcterms:W3CDTF">2024-05-23T00:52:22Z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