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70"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w:t>
      </w:r>
      <w:r>
        <w:t xml:space="preserve"> </w:t>
      </w:r>
      <w:hyperlink r:id="rId23">
        <w:r>
          <w:rPr>
            <w:rStyle w:val="Hyperlink"/>
          </w:rPr>
          <w:t xml:space="preserve">here</w:t>
        </w:r>
      </w:hyperlink>
      <w:r>
        <w:t xml:space="preserve"> and public sector developments</w:t>
      </w:r>
      <w:r>
        <w:t xml:space="preserve">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9"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vertAlign w:val="superscript"/>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RA-Outside-Strategic-Areas"/>
    </w:p>
    <w:bookmarkStart w:id="59" w:name="X0887e3ea7198614d43993478ad2abef36cf8b11"/>
    <w:p>
      <w:pPr>
        <w:pStyle w:val="Heading4"/>
      </w:pPr>
      <w:r>
        <w:t xml:space="preserve">LRA guidelines outside the Strategic Areas</w:t>
      </w:r>
    </w:p>
    <w:bookmarkEnd w:id="59"/>
    <w:bookmarkStart w:id="63" w:name="LRA-Outside-Strategic-Areas"/>
    <w:p>
      <w:pPr>
        <w:pStyle w:val="FirstParagraph"/>
      </w:pPr>
      <w:r>
        <w:t xml:space="preserve">Outside of the Strategic Areas, all flats and condominiums developments islandwide shall be required to meet minimum greening standards, tiered according to the development’s GPR as shown in the table below. For developments on sites zoned 'Residential with Commercial at 1</w:t>
      </w:r>
      <w:r>
        <w:rPr>
          <w:vertAlign w:val="superscript"/>
        </w:rPr>
        <w:t xml:space="preserve">st</w:t>
      </w:r>
      <w:r>
        <w:t xml:space="preserve"> </w:t>
      </w:r>
      <w:r>
        <w:t xml:space="preserve">Storey' or 'Commercial and Residential', please refer to the relevant LRA guidelines</w:t>
      </w:r>
      <w:r>
        <w:t xml:space="preserve"> </w:t>
      </w:r>
      <w:hyperlink r:id="rId60">
        <w:r>
          <w:rPr>
            <w:rStyle w:val="Hyperlink"/>
          </w:rPr>
          <w:t xml:space="preserve">here</w:t>
        </w:r>
      </w:hyperlink>
      <w:r>
        <w:t xml:space="preserve"> (under the "LRA Guidelines outside the Strategic Areas" subsection).</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On-ground Greenery Provision</w:t>
            </w:r>
            <w:r>
              <w:br/>
            </w:r>
            <w:r>
              <w:t xml:space="preserve">(as % of Site Area)</w:t>
            </w:r>
          </w:p>
        </w:tc>
        <w:tc>
          <w:tcPr/>
          <w:p>
            <w:pPr>
              <w:pStyle w:val="Compact"/>
              <w:jc w:val="center"/>
            </w:pPr>
            <w:r>
              <w:t xml:space="preserve">20</w:t>
            </w:r>
          </w:p>
        </w:tc>
        <w:tc>
          <w:tcPr/>
          <w:p>
            <w:pPr>
              <w:pStyle w:val="Compact"/>
              <w:jc w:val="center"/>
            </w:pPr>
            <w:r>
              <w:t xml:space="preserve">30</w:t>
            </w:r>
          </w:p>
        </w:tc>
        <w:tc>
          <w:tcPr/>
          <w:p>
            <w:pPr>
              <w:pStyle w:val="Compact"/>
              <w:jc w:val="center"/>
            </w:pPr>
            <w:r>
              <w:t xml:space="preserve">35</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t xml:space="preserve"> </w:t>
      </w:r>
    </w:p>
    <w:p>
      <w:pPr>
        <w:pStyle w:val="BodyText"/>
      </w:pPr>
      <w:r>
        <w:t xml:space="preserve">The Green Plot Ratio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6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2"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by searching the common or scientific names of plants.</w:t>
      </w:r>
    </w:p>
    <w:p>
      <w:pPr>
        <w:pStyle w:val="BodyText"/>
      </w:pPr>
      <w:r>
        <w:t xml:space="preserve">The LRA may be located on any storey of the development, and shall be communally-accessible to the public and building occupants during normal operating hours. The LRAs shall form part of the common property.</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should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bl>
    <w:bookmarkEnd w:id="63"/>
    <w:p>
      <w:pPr>
        <w:pStyle w:val="BodyText"/>
      </w:pPr>
      <w:hyperlink w:anchor="Landscape-Plan"/>
    </w:p>
    <w:bookmarkStart w:id="64" w:name="X33698b67f67b19727a08bff87658327fb3a3915"/>
    <w:p>
      <w:pPr>
        <w:pStyle w:val="Heading4"/>
      </w:pPr>
      <w:r>
        <w:t xml:space="preserve">Plan Presentation Requirements for Landscape Replacement Areas</w:t>
      </w:r>
    </w:p>
    <w:bookmarkEnd w:id="64"/>
    <w:bookmarkStart w:id="68"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6"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7">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8"/>
    <w:bookmarkEnd w:id="69"/>
    <w:bookmarkEnd w:id="70"/>
    <w:p>
      <w:pPr>
        <w:pStyle w:val="BodyText"/>
      </w:pPr>
      <w:hyperlink w:anchor="LUSH-Incentives"/>
    </w:p>
    <w:p>
      <w:pPr>
        <w:pStyle w:val="BodyText"/>
      </w:pPr>
      <w:r>
        <w:t xml:space="preserve">LUSH Incentives</w:t>
      </w:r>
    </w:p>
    <w:bookmarkStart w:id="83" w:name="LUSH-Incentives"/>
    <w:p>
      <w:pPr>
        <w:pStyle w:val="BodyText"/>
      </w:pPr>
      <w:r>
        <w:t xml:space="preserve">The following incentive schemes can be used throughout the development to provide greenery and communal spaces.</w:t>
      </w:r>
    </w:p>
    <w:bookmarkStart w:id="82" w:name="LUSH-Incentives1"/>
    <w:p>
      <w:pPr>
        <w:pStyle w:val="BodyText"/>
      </w:pPr>
      <w:hyperlink w:anchor="Sky-Terraces"/>
    </w:p>
    <w:bookmarkStart w:id="71" w:name="sky-terraces"/>
    <w:p>
      <w:pPr>
        <w:pStyle w:val="Heading4"/>
      </w:pPr>
      <w:r>
        <w:t xml:space="preserve">Sky Terraces</w:t>
      </w:r>
    </w:p>
    <w:bookmarkEnd w:id="71"/>
    <w:bookmarkStart w:id="74"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Corridors may be exempted from GFA computation for all sky terraces regardless of size subject to the following criteria:</w:t>
            </w:r>
            <w:r>
              <w:br/>
            </w:r>
            <w:r>
              <w:br/>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numPr>
                <w:ilvl w:val="0"/>
                <w:numId w:val="1011"/>
              </w:numPr>
              <w:jc w:val="left"/>
            </w:pPr>
            <w:r>
              <w:t xml:space="preserve">The corridor does not serve as the primary access to units located on the same floor as the sky terrace.</w:t>
            </w:r>
          </w:p>
          <w:p>
            <w:pPr>
              <w:pStyle w:val="Compact"/>
              <w:jc w:val="left"/>
            </w:pPr>
            <w:r>
              <w:t xml:space="preserve"> </w:t>
            </w:r>
            <w:r>
              <w:rPr>
                <w:vertAlign w:val="superscript"/>
              </w:rPr>
              <w:t xml:space="preserve">1</w:t>
            </w:r>
            <w:r>
              <w:t xml:space="preserve"> </w:t>
            </w:r>
            <w:r>
              <w:t xml:space="preserve">Parapet walls shall not exceed 1.3m in height to be considered open.</w:t>
            </w:r>
            <w:r>
              <w:t xml:space="preserve"> </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7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73"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7">
        <w:r>
          <w:rPr>
            <w:rStyle w:val="Hyperlink"/>
            <w:i/>
            <w:iCs/>
          </w:rPr>
          <w:t xml:space="preserve">here</w:t>
        </w:r>
      </w:hyperlink>
      <w:r>
        <w:rPr>
          <w:i/>
          <w:iCs/>
        </w:rPr>
        <w:t xml:space="preserve">)</w:t>
      </w:r>
    </w:p>
    <w:bookmarkEnd w:id="74"/>
    <w:p>
      <w:pPr>
        <w:pStyle w:val="BodyText"/>
      </w:pPr>
      <w:hyperlink w:anchor="Communal-Planter-Boxes"/>
    </w:p>
    <w:bookmarkStart w:id="75" w:name="communal-planter-boxes"/>
    <w:p>
      <w:pPr>
        <w:pStyle w:val="Heading4"/>
      </w:pPr>
      <w:r>
        <w:t xml:space="preserve">Communal Planter Boxes</w:t>
      </w:r>
    </w:p>
    <w:bookmarkEnd w:id="75"/>
    <w:bookmarkStart w:id="76"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6"/>
    <w:p>
      <w:pPr>
        <w:pStyle w:val="BodyText"/>
      </w:pPr>
      <w:hyperlink w:anchor="Covered-Communal-Ground-Gardens"/>
    </w:p>
    <w:bookmarkStart w:id="77" w:name="covered-communal-ground-gardens"/>
    <w:p>
      <w:pPr>
        <w:pStyle w:val="Heading4"/>
      </w:pPr>
      <w:r>
        <w:t xml:space="preserve">Covered Communal Ground Gardens</w:t>
      </w:r>
    </w:p>
    <w:bookmarkEnd w:id="77"/>
    <w:bookmarkStart w:id="79"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8">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9"/>
    <w:p>
      <w:pPr>
        <w:pStyle w:val="BodyText"/>
      </w:pPr>
      <w:hyperlink w:anchor="Communal-Pavilions"/>
    </w:p>
    <w:bookmarkStart w:id="80" w:name="communal-pavilions"/>
    <w:p>
      <w:pPr>
        <w:pStyle w:val="Heading4"/>
      </w:pPr>
      <w:r>
        <w:t xml:space="preserve">Communal Pavilions</w:t>
      </w:r>
    </w:p>
    <w:bookmarkEnd w:id="80"/>
    <w:bookmarkStart w:id="81"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50% (max)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81"/>
    <w:bookmarkEnd w:id="82"/>
    <w:bookmarkEnd w:id="83"/>
    <w:p>
      <w:r>
        <w:pict>
          <v:rect style="width:0;height:1.5pt" o:hralign="center" o:hrstd="t" o:hr="t"/>
        </w:pict>
      </w:r>
    </w:p>
    <w:p>
      <w:pPr>
        <w:pStyle w:val="FirstParagraph"/>
      </w:pPr>
      <w:r>
        <w:rPr>
          <w:i/>
          <w:iCs/>
        </w:rPr>
        <w:t xml:space="preserve">Last updated on</w:t>
      </w:r>
      <w:r>
        <w:rPr>
          <w:i/>
          <w:iCs/>
        </w:rPr>
        <w:t xml:space="preserve"> </w:t>
      </w:r>
      <w:r>
        <w:rPr>
          <w:i/>
          <w:i/>
          <w:iCs/>
          <w:iCs/>
        </w:rPr>
        <w:t xml:space="preserve">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7"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60" Target="/Corporate/Guidelines/Development-Control/Non-Residential/Commercial/Greenery" TargetMode="External" /><Relationship Type="http://schemas.openxmlformats.org/officeDocument/2006/relationships/hyperlink" Id="rId78"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7"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60" Target="/Corporate/Guidelines/Development-Control/Non-Residential/Commercial/Greenery" TargetMode="External" /><Relationship Type="http://schemas.openxmlformats.org/officeDocument/2006/relationships/hyperlink" Id="rId78"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2024-05-23T00:52:22Z</dcterms:created>
  <dcterms:modified xsi:type="dcterms:W3CDTF">2024-05-23T00:52:22Z</dcterms:modified>
</cp:coreProperties>
</file>

<file path=docProps/custom.xml><?xml version="1.0" encoding="utf-8"?>
<Properties xmlns="http://schemas.openxmlformats.org/officeDocument/2006/custom-properties" xmlns:vt="http://schemas.openxmlformats.org/officeDocument/2006/docPropsVTypes"/>
</file>