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gross-plot-ratio"/>
    <w:p>
      <w:pPr>
        <w:pStyle w:val="Heading3"/>
      </w:pPr>
      <w:r>
        <w:t xml:space="preserve">Gross Plot Ratio</w:t>
      </w:r>
    </w:p>
    <w:p>
      <w:pPr>
        <w:pStyle w:val="FirstParagraph"/>
      </w:pPr>
      <w:r>
        <w:t xml:space="preserve">The development potential of a residential development is guided by the Gross Plot Ratio (GPR) specified in the Master Plan (MP). The MP plot ratio is the upper bound as it may not always be achievable because of site limitations like shape of the plot, site topography or ground conditions, building setbacks, building height or technical requirements of other authorities that may affect the site.</w:t>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w:t>
      </w:r>
    </w:p>
    <w:p>
      <w:pPr>
        <w:pStyle w:val="BodyText"/>
      </w:pPr>
      <w:r>
        <w:rPr>
          <w:vertAlign w:val="superscript"/>
        </w:rPr>
        <w:t xml:space="preserve">1</w:t>
      </w:r>
      <w:r>
        <w:t xml:space="preserve"> </w:t>
      </w:r>
      <w:r>
        <w:rPr>
          <w:b/>
          <w:bCs/>
        </w:rPr>
        <w:t xml:space="preserve">Drainage Reserve</w:t>
      </w:r>
      <w:r>
        <w:t xml:space="preserve">: An area safeguarded for purposes of building or widening a public drain.</w:t>
      </w:r>
    </w:p>
    <w:p>
      <w:pPr>
        <w:pStyle w:val="BodyText"/>
      </w:pPr>
      <w:r>
        <w:rPr>
          <w:vertAlign w:val="superscript"/>
        </w:rPr>
        <w:t xml:space="preserve">2</w:t>
      </w:r>
      <w:r>
        <w:t xml:space="preserve"> </w:t>
      </w:r>
      <w:r>
        <w:rPr>
          <w:b/>
          <w:bCs/>
        </w:rPr>
        <w:t xml:space="preserve">Street/Road Reserve</w:t>
      </w:r>
      <w:r>
        <w:t xml:space="preserve">: The plot of land to be vested in the State as required under the Street Works Act. It is demarcated by the line of Road Reserve in the Road Line Plan and the site boundary.</w:t>
      </w:r>
      <w:r>
        <w:t xml:space="preserve"> </w:t>
      </w:r>
    </w:p>
    <w:p>
      <w:pPr>
        <w:pStyle w:val="BodyText"/>
      </w:pPr>
      <w:hyperlink r:id="rId20">
        <w:r>
          <w:rPr>
            <w:rStyle w:val="Hyperlink"/>
          </w:rPr>
          <w:t xml:space="preserve">https://ura.gov.sg/-/media/Corporate/Guidelines/Development-control/Flats-Condominiums/F01_Gross_Plot_Ratio.jpg?h=100%25&amp;w=100%25</w:t>
        </w:r>
      </w:hyperlink>
    </w:p>
    <w:p>
      <w:pPr>
        <w:pStyle w:val="BodyText"/>
      </w:pPr>
      <w:r>
        <w:rPr>
          <w:i/>
          <w:iCs/>
        </w:rPr>
        <w:t xml:space="preserve">GPR for sites where vesting is required</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Flats-Condominiums/F01_Gross_Plot_Ratio.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Flats-Condominiums/F01_Gross_Plot_Ratio.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2024-05-23T03:20:48Z</dcterms:created>
  <dcterms:modified xsi:type="dcterms:W3CDTF">2024-05-23T03:20:48Z</dcterms:modified>
</cp:coreProperties>
</file>

<file path=docProps/custom.xml><?xml version="1.0" encoding="utf-8"?>
<Properties xmlns="http://schemas.openxmlformats.org/officeDocument/2006/custom-properties" xmlns:vt="http://schemas.openxmlformats.org/officeDocument/2006/docPropsVTypes"/>
</file>