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_and_Motor-Cycle_Parking"/>
    </w:p>
    <w:p>
      <w:pPr>
        <w:pStyle w:val="BodyText"/>
      </w:pPr>
      <w:r>
        <w:t xml:space="preserve">Car and Motor-Cycle Parking</w:t>
      </w:r>
    </w:p>
    <w:bookmarkStart w:id="37" w:name="Car_and_Motor-Cycle_Parking"/>
    <w:p>
      <w:pPr>
        <w:pStyle w:val="BodyText"/>
      </w:pPr>
      <w:r>
        <w:t xml:space="preserve">Under LTA’s Range-based Parking Provision Standards (RPPS), developments are subject to car and motor-cycle parking provision requirements. </w:t>
      </w:r>
    </w:p>
    <w:p>
      <w:pPr>
        <w:pStyle w:val="BodyText"/>
      </w:pPr>
      <w:r>
        <w:t xml:space="preserve">Unless explicitly approved as private parking lots in the approved plans, all car and motor-cycle parking lots shall be treated as common property. </w:t>
      </w:r>
      <w:r>
        <w:t xml:space="preserve">If the car or motorcycle parking lots are counted towards the unit’s strata area (i.e. private car parking lots), they will be computed as GFA.</w:t>
      </w:r>
    </w:p>
    <w:bookmarkStart w:id="36" w:name="Car_and_Motor-Cycle_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bookmarkEnd w:id="28"/>
    <w:p>
      <w:pPr>
        <w:pStyle w:val="BodyText"/>
      </w:pPr>
      <w:hyperlink w:anchor="Surplus"/>
    </w:p>
    <w:bookmarkStart w:id="29" w:name="X2bbb32bee3da7910b2f2c74520d95a9c7103e35"/>
    <w:p>
      <w:pPr>
        <w:pStyle w:val="Heading4"/>
      </w:pPr>
      <w:r>
        <w:t xml:space="preserve">Provision of Surplus Parking in New Developments</w:t>
      </w:r>
    </w:p>
    <w:bookmarkEnd w:id="29"/>
    <w:bookmarkStart w:id="30" w:name="Surplus"/>
    <w:p>
      <w:pPr>
        <w:pStyle w:val="FirstParagraph"/>
      </w:pPr>
      <w:r>
        <w:t xml:space="preserve">New residential and mixed use 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b/>
          <w:bCs/>
          <w:i/>
          <w:iCs/>
        </w:rPr>
        <w:t xml:space="preserve">Note</w:t>
      </w:r>
      <w:r>
        <w:rPr>
          <w:i/>
          <w:iCs/>
        </w:rPr>
        <w:t xml:space="preserve">: Mixed use developments are developments with commercial and/or hotel components that form more than 20% of the total GFA. The above guidelines shall apply to mixed use developments within the Central Area or within 400m of MRT and LRT stations.</w:t>
      </w:r>
    </w:p>
    <w:bookmarkEnd w:id="30"/>
    <w:p>
      <w:pPr>
        <w:pStyle w:val="BodyText"/>
      </w:pPr>
      <w:hyperlink w:anchor="Conversion"/>
    </w:p>
    <w:bookmarkStart w:id="31" w:name="Xdc06430b05fa1a5d9ba4286b2672a048f032f23"/>
    <w:p>
      <w:pPr>
        <w:pStyle w:val="Heading4"/>
      </w:pPr>
      <w:r>
        <w:t xml:space="preserve">Conversion of Surplus Car Parking in Existing Developments</w:t>
      </w:r>
    </w:p>
    <w:bookmarkEnd w:id="31"/>
    <w:bookmarkStart w:id="35" w:name="Conversion"/>
    <w:p>
      <w:pPr>
        <w:pStyle w:val="FirstParagraph"/>
      </w:pPr>
      <w:r>
        <w:t xml:space="preserve">Existing residential developments</w:t>
      </w:r>
      <w:r>
        <w:t xml:space="preserve"> </w:t>
      </w:r>
      <w:r>
        <w:rPr>
          <w:b/>
          <w:bCs/>
        </w:rPr>
        <w:t xml:space="preserve">within the</w:t>
      </w:r>
      <w:r>
        <w:rPr>
          <w:b/>
          <w:bCs/>
        </w:rPr>
        <w:t xml:space="preserve"> </w:t>
      </w:r>
      <w:hyperlink r:id="rId32">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1</w:t>
      </w:r>
      <w:r>
        <w:t xml:space="preserve"> </w:t>
      </w:r>
      <w:r>
        <w:t xml:space="preserve">to other uses.</w:t>
      </w:r>
    </w:p>
    <w:p>
      <w:pPr>
        <w:pStyle w:val="BodyText"/>
      </w:pPr>
      <w:r>
        <w:rPr>
          <w:vertAlign w:val="superscript"/>
        </w:rPr>
        <w:t xml:space="preserve">1</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3">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4">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5"/>
    <w:bookmarkEnd w:id="36"/>
    <w:bookmarkEnd w:id="37"/>
    <w:p>
      <w:pPr>
        <w:pStyle w:val="BodyText"/>
      </w:pPr>
      <w:hyperlink w:anchor="Bicycle-Parking"/>
    </w:p>
    <w:p>
      <w:pPr>
        <w:pStyle w:val="BodyText"/>
      </w:pPr>
      <w:r>
        <w:t xml:space="preserve">Bicycle Parking</w:t>
      </w:r>
    </w:p>
    <w:bookmarkStart w:id="39" w:name="Bicycle-Parking"/>
    <w:p>
      <w:pPr>
        <w:pStyle w:val="BodyText"/>
      </w:pPr>
      <w:r>
        <w:t xml:space="preserve">To promote a car-lite society, residential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 </w:t>
      </w:r>
      <w:r>
        <w:t xml:space="preserve">If the bicycle parking lots are counted towards the unit strata area (i.e. private bicycle parking lots), they will be computed as GFA.</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8" w:name="Bicycle-Parking1"/>
    <w:bookmarkEnd w:id="38"/>
    <w:bookmarkEnd w:id="39"/>
    <w:p>
      <w:r>
        <w:pict>
          <v:rect style="width:0;height:1.5pt" o:hralign="center" o:hrstd="t" o:hr="t"/>
        </w:pict>
      </w:r>
    </w:p>
    <w:p>
      <w:pPr>
        <w:pStyle w:val="FirstParagraph"/>
      </w:pPr>
      <w:r>
        <w:rPr>
          <w:i/>
          <w:iCs/>
        </w:rPr>
        <w:t xml:space="preserve">Last updated on 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2024-05-23T00:52:23Z</dcterms:created>
  <dcterms:modified xsi:type="dcterms:W3CDTF">2024-05-23T00:52:23Z</dcterms:modified>
</cp:coreProperties>
</file>

<file path=docProps/custom.xml><?xml version="1.0" encoding="utf-8"?>
<Properties xmlns="http://schemas.openxmlformats.org/officeDocument/2006/custom-properties" xmlns:vt="http://schemas.openxmlformats.org/officeDocument/2006/docPropsVTypes"/>
</file>